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DBEE" w14:textId="77777777" w:rsidR="00A56676" w:rsidRPr="00D05C0B" w:rsidRDefault="00A56676" w:rsidP="00A56676">
      <w:pPr>
        <w:ind w:left="187" w:right="115"/>
        <w:jc w:val="center"/>
        <w:rPr>
          <w:rFonts w:ascii="Times New Roman" w:hAnsi="Times New Roman"/>
          <w:b/>
          <w:color w:val="000000"/>
          <w:spacing w:val="-7"/>
        </w:rPr>
      </w:pPr>
      <w:r w:rsidRPr="00D05C0B">
        <w:rPr>
          <w:rFonts w:ascii="Times New Roman" w:hAnsi="Times New Roman"/>
          <w:b/>
          <w:color w:val="000000"/>
          <w:spacing w:val="-7"/>
        </w:rPr>
        <w:t>National Park Service</w:t>
      </w:r>
    </w:p>
    <w:p w14:paraId="6259F52D" w14:textId="77777777" w:rsidR="00A56676" w:rsidRPr="00D05C0B" w:rsidRDefault="00A56676" w:rsidP="00A56676">
      <w:pPr>
        <w:ind w:left="-90" w:right="-30"/>
        <w:jc w:val="center"/>
        <w:rPr>
          <w:rFonts w:ascii="Times New Roman" w:hAnsi="Times New Roman"/>
          <w:b/>
          <w:color w:val="000000"/>
          <w:spacing w:val="-2"/>
        </w:rPr>
      </w:pPr>
      <w:r w:rsidRPr="00D05C0B">
        <w:rPr>
          <w:rFonts w:ascii="Times New Roman" w:hAnsi="Times New Roman"/>
          <w:b/>
          <w:color w:val="000000"/>
          <w:spacing w:val="-2"/>
        </w:rPr>
        <w:t>Standard Operating Procedures:</w:t>
      </w:r>
    </w:p>
    <w:p w14:paraId="301FB6A3" w14:textId="77777777" w:rsidR="00A56676" w:rsidRDefault="00A56676" w:rsidP="00A56676">
      <w:pPr>
        <w:ind w:left="-90" w:right="-30"/>
        <w:jc w:val="center"/>
        <w:rPr>
          <w:rFonts w:ascii="Times New Roman" w:hAnsi="Times New Roman"/>
          <w:b/>
          <w:color w:val="000000"/>
          <w:spacing w:val="-7"/>
        </w:rPr>
      </w:pPr>
      <w:r w:rsidRPr="00D05C0B">
        <w:rPr>
          <w:rFonts w:ascii="Times New Roman" w:hAnsi="Times New Roman"/>
          <w:b/>
          <w:color w:val="000000"/>
        </w:rPr>
        <w:t>Contractors</w:t>
      </w:r>
      <w:r w:rsidRPr="00D05C0B">
        <w:rPr>
          <w:rFonts w:ascii="Times New Roman" w:hAnsi="Times New Roman"/>
          <w:b/>
          <w:color w:val="000000"/>
          <w:spacing w:val="-7"/>
        </w:rPr>
        <w:t xml:space="preserve"> Working with Museum Collections and </w:t>
      </w:r>
      <w:r>
        <w:rPr>
          <w:rFonts w:ascii="Times New Roman" w:hAnsi="Times New Roman"/>
          <w:b/>
          <w:color w:val="000000"/>
          <w:spacing w:val="-7"/>
        </w:rPr>
        <w:t xml:space="preserve">in </w:t>
      </w:r>
      <w:r w:rsidRPr="00D05C0B">
        <w:rPr>
          <w:rFonts w:ascii="Times New Roman" w:hAnsi="Times New Roman"/>
          <w:b/>
          <w:color w:val="000000"/>
          <w:spacing w:val="-7"/>
        </w:rPr>
        <w:t>Structures Housing Collections</w:t>
      </w:r>
      <w:r>
        <w:rPr>
          <w:rFonts w:ascii="Times New Roman" w:hAnsi="Times New Roman"/>
          <w:b/>
          <w:color w:val="000000"/>
          <w:spacing w:val="-7"/>
        </w:rPr>
        <w:t xml:space="preserve"> (Sample)</w:t>
      </w:r>
    </w:p>
    <w:p w14:paraId="4BAE4549" w14:textId="77777777" w:rsidR="00A56676" w:rsidRDefault="00A56676" w:rsidP="00A56676">
      <w:pPr>
        <w:ind w:left="-90" w:right="-30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5"/>
        <w:gridCol w:w="2790"/>
        <w:gridCol w:w="2610"/>
      </w:tblGrid>
      <w:tr w:rsidR="00A56676" w:rsidRPr="006B712F" w14:paraId="0BAD4EFB" w14:textId="77777777" w:rsidTr="00BA14E3">
        <w:trPr>
          <w:trHeight w:val="314"/>
          <w:jc w:val="center"/>
        </w:trPr>
        <w:tc>
          <w:tcPr>
            <w:tcW w:w="4315" w:type="dxa"/>
          </w:tcPr>
          <w:p w14:paraId="77A4D297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  <w:r w:rsidRPr="006B712F">
              <w:rPr>
                <w:rFonts w:ascii="Times New Roman" w:hAnsi="Times New Roman"/>
                <w:b/>
                <w:bCs/>
              </w:rPr>
              <w:t>Park Name: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B712F">
              <w:rPr>
                <w:rFonts w:ascii="Times New Roman" w:hAnsi="Times New Roman"/>
              </w:rPr>
              <w:t>[</w:t>
            </w:r>
            <w:r w:rsidRPr="006B712F">
              <w:rPr>
                <w:rFonts w:ascii="Times New Roman" w:hAnsi="Times New Roman"/>
                <w:i/>
                <w:color w:val="0070C0"/>
              </w:rPr>
              <w:t>Park</w:t>
            </w:r>
            <w:r w:rsidRPr="006B712F">
              <w:rPr>
                <w:rFonts w:ascii="Times New Roman" w:hAnsi="Times New Roman"/>
              </w:rPr>
              <w:t>]</w:t>
            </w:r>
          </w:p>
        </w:tc>
        <w:tc>
          <w:tcPr>
            <w:tcW w:w="5400" w:type="dxa"/>
            <w:gridSpan w:val="2"/>
          </w:tcPr>
          <w:p w14:paraId="092FD93B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  <w:r w:rsidRPr="006B712F">
              <w:rPr>
                <w:rFonts w:ascii="Times New Roman" w:hAnsi="Times New Roman"/>
                <w:b/>
                <w:bCs/>
              </w:rPr>
              <w:t>Division / Branch: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B712F">
              <w:rPr>
                <w:rFonts w:ascii="Times New Roman" w:hAnsi="Times New Roman"/>
              </w:rPr>
              <w:t>[</w:t>
            </w:r>
            <w:proofErr w:type="gramStart"/>
            <w:r w:rsidRPr="006B712F">
              <w:rPr>
                <w:rFonts w:ascii="Times New Roman" w:hAnsi="Times New Roman"/>
                <w:i/>
                <w:color w:val="0070C0"/>
              </w:rPr>
              <w:t>Park museum</w:t>
            </w:r>
            <w:proofErr w:type="gramEnd"/>
            <w:r w:rsidRPr="006B712F">
              <w:rPr>
                <w:rFonts w:ascii="Times New Roman" w:hAnsi="Times New Roman"/>
                <w:i/>
                <w:color w:val="0070C0"/>
              </w:rPr>
              <w:t xml:space="preserve"> branch</w:t>
            </w:r>
            <w:r w:rsidRPr="006B712F">
              <w:rPr>
                <w:rFonts w:ascii="Times New Roman" w:hAnsi="Times New Roman"/>
              </w:rPr>
              <w:t>]</w:t>
            </w:r>
          </w:p>
        </w:tc>
      </w:tr>
      <w:tr w:rsidR="00A56676" w:rsidRPr="006B712F" w14:paraId="6E63CADB" w14:textId="77777777" w:rsidTr="00BA14E3">
        <w:trPr>
          <w:trHeight w:val="521"/>
          <w:jc w:val="center"/>
        </w:trPr>
        <w:tc>
          <w:tcPr>
            <w:tcW w:w="4315" w:type="dxa"/>
          </w:tcPr>
          <w:p w14:paraId="12BB9C8C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  <w:r w:rsidRPr="006B712F">
              <w:rPr>
                <w:rFonts w:ascii="Times New Roman" w:hAnsi="Times New Roman"/>
                <w:b/>
                <w:bCs/>
              </w:rPr>
              <w:t>Effective Date:</w:t>
            </w:r>
          </w:p>
        </w:tc>
        <w:tc>
          <w:tcPr>
            <w:tcW w:w="2790" w:type="dxa"/>
          </w:tcPr>
          <w:p w14:paraId="42716487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Duration:</w:t>
            </w:r>
          </w:p>
          <w:p w14:paraId="132A5554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  <w:r w:rsidRPr="006B712F">
              <w:rPr>
                <w:rFonts w:ascii="Times New Roman" w:hAnsi="Times New Roman"/>
              </w:rPr>
              <w:t>Until amended or rescinded</w:t>
            </w:r>
          </w:p>
        </w:tc>
        <w:tc>
          <w:tcPr>
            <w:tcW w:w="2610" w:type="dxa"/>
          </w:tcPr>
          <w:p w14:paraId="5A183987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  <w:r w:rsidRPr="006B712F">
              <w:rPr>
                <w:rFonts w:ascii="Times New Roman" w:hAnsi="Times New Roman"/>
                <w:b/>
                <w:bCs/>
              </w:rPr>
              <w:t>Target Audience: / Distribution: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B712F">
              <w:rPr>
                <w:rFonts w:ascii="Times New Roman" w:hAnsi="Times New Roman"/>
              </w:rPr>
              <w:t>All park staff</w:t>
            </w:r>
          </w:p>
        </w:tc>
      </w:tr>
      <w:tr w:rsidR="00A56676" w:rsidRPr="006B712F" w14:paraId="48B1F8B1" w14:textId="77777777" w:rsidTr="00BA14E3">
        <w:trPr>
          <w:trHeight w:val="476"/>
          <w:jc w:val="center"/>
        </w:trPr>
        <w:tc>
          <w:tcPr>
            <w:tcW w:w="4315" w:type="dxa"/>
          </w:tcPr>
          <w:p w14:paraId="056A1319" w14:textId="1C5104F4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 xml:space="preserve">Prepared by </w:t>
            </w:r>
            <w:r>
              <w:rPr>
                <w:rFonts w:ascii="Times New Roman" w:hAnsi="Times New Roman"/>
                <w:b/>
                <w:bCs/>
              </w:rPr>
              <w:t xml:space="preserve">Park </w:t>
            </w:r>
            <w:r w:rsidRPr="006B712F">
              <w:rPr>
                <w:rFonts w:ascii="Times New Roman" w:hAnsi="Times New Roman"/>
                <w:b/>
                <w:bCs/>
              </w:rPr>
              <w:t xml:space="preserve">Curator </w:t>
            </w:r>
            <w:r w:rsidRPr="006B712F">
              <w:rPr>
                <w:rFonts w:ascii="Times New Roman" w:hAnsi="Times New Roman"/>
              </w:rPr>
              <w:t>(Print Name):</w:t>
            </w:r>
            <w:r w:rsidR="0029353A">
              <w:rPr>
                <w:rFonts w:ascii="Times New Roman" w:hAnsi="Times New Roman"/>
              </w:rPr>
              <w:br/>
            </w:r>
            <w:r w:rsidR="0029353A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2790" w:type="dxa"/>
          </w:tcPr>
          <w:p w14:paraId="516B49F9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Signature:</w:t>
            </w:r>
          </w:p>
          <w:p w14:paraId="1C01AF86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0" w:type="dxa"/>
          </w:tcPr>
          <w:p w14:paraId="07B767E6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Date Signed:</w:t>
            </w:r>
          </w:p>
          <w:p w14:paraId="22198938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56676" w:rsidRPr="006B712F" w14:paraId="3729C26A" w14:textId="77777777" w:rsidTr="00BA14E3">
        <w:trPr>
          <w:trHeight w:val="422"/>
          <w:jc w:val="center"/>
        </w:trPr>
        <w:tc>
          <w:tcPr>
            <w:tcW w:w="4315" w:type="dxa"/>
          </w:tcPr>
          <w:p w14:paraId="6E9E85D9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Concurred</w:t>
            </w:r>
            <w:r w:rsidRPr="006B712F">
              <w:rPr>
                <w:rFonts w:ascii="Times New Roman" w:hAnsi="Times New Roman"/>
                <w:b/>
                <w:bCs/>
              </w:rPr>
              <w:t xml:space="preserve"> by </w:t>
            </w:r>
            <w:r>
              <w:rPr>
                <w:rFonts w:ascii="Times New Roman" w:hAnsi="Times New Roman"/>
                <w:b/>
                <w:bCs/>
              </w:rPr>
              <w:t>Facility Manager</w:t>
            </w:r>
            <w:r w:rsidRPr="006B712F">
              <w:rPr>
                <w:rFonts w:ascii="Times New Roman" w:hAnsi="Times New Roman"/>
                <w:b/>
                <w:bCs/>
              </w:rPr>
              <w:t xml:space="preserve"> </w:t>
            </w:r>
            <w:r w:rsidRPr="006B712F">
              <w:rPr>
                <w:rFonts w:ascii="Times New Roman" w:hAnsi="Times New Roman"/>
              </w:rPr>
              <w:t>(Print Name):</w:t>
            </w:r>
          </w:p>
        </w:tc>
        <w:tc>
          <w:tcPr>
            <w:tcW w:w="2790" w:type="dxa"/>
          </w:tcPr>
          <w:p w14:paraId="5281D715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Signature:</w:t>
            </w:r>
          </w:p>
          <w:p w14:paraId="5A252734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0" w:type="dxa"/>
          </w:tcPr>
          <w:p w14:paraId="5E5DE947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Date Signed:</w:t>
            </w:r>
          </w:p>
          <w:p w14:paraId="53CB3E81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56676" w:rsidRPr="006B712F" w14:paraId="3F114A2A" w14:textId="77777777" w:rsidTr="00BA14E3">
        <w:trPr>
          <w:trHeight w:val="449"/>
          <w:jc w:val="center"/>
        </w:trPr>
        <w:tc>
          <w:tcPr>
            <w:tcW w:w="4315" w:type="dxa"/>
          </w:tcPr>
          <w:p w14:paraId="58143765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Concurred</w:t>
            </w:r>
            <w:r w:rsidRPr="006B712F">
              <w:rPr>
                <w:rFonts w:ascii="Times New Roman" w:hAnsi="Times New Roman"/>
                <w:b/>
                <w:bCs/>
              </w:rPr>
              <w:t xml:space="preserve"> by Park Physical Security Coordinator</w:t>
            </w:r>
            <w:r w:rsidRPr="006B712F">
              <w:rPr>
                <w:rFonts w:ascii="Times New Roman" w:hAnsi="Times New Roman"/>
              </w:rPr>
              <w:t xml:space="preserve"> (Print Name):</w:t>
            </w:r>
          </w:p>
        </w:tc>
        <w:tc>
          <w:tcPr>
            <w:tcW w:w="2790" w:type="dxa"/>
          </w:tcPr>
          <w:p w14:paraId="1A9E0432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Signature:</w:t>
            </w:r>
          </w:p>
          <w:p w14:paraId="3B13B839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0" w:type="dxa"/>
          </w:tcPr>
          <w:p w14:paraId="7E8F362C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Date Signed:</w:t>
            </w:r>
          </w:p>
          <w:p w14:paraId="571E4386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56676" w:rsidRPr="006B712F" w14:paraId="461E6BCF" w14:textId="77777777" w:rsidTr="00BA14E3">
        <w:trPr>
          <w:trHeight w:val="503"/>
          <w:jc w:val="center"/>
        </w:trPr>
        <w:tc>
          <w:tcPr>
            <w:tcW w:w="4315" w:type="dxa"/>
          </w:tcPr>
          <w:p w14:paraId="155708F9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Concurred</w:t>
            </w:r>
            <w:r w:rsidRPr="006B712F">
              <w:rPr>
                <w:rFonts w:ascii="Times New Roman" w:hAnsi="Times New Roman"/>
                <w:b/>
                <w:bCs/>
              </w:rPr>
              <w:t xml:space="preserve"> by Park </w:t>
            </w:r>
            <w:r>
              <w:rPr>
                <w:rFonts w:ascii="Times New Roman" w:hAnsi="Times New Roman"/>
                <w:b/>
                <w:bCs/>
              </w:rPr>
              <w:t>Structural Fire</w:t>
            </w:r>
            <w:r w:rsidRPr="006B712F">
              <w:rPr>
                <w:rFonts w:ascii="Times New Roman" w:hAnsi="Times New Roman"/>
                <w:b/>
                <w:bCs/>
              </w:rPr>
              <w:t xml:space="preserve"> Coordinator</w:t>
            </w:r>
            <w:r w:rsidRPr="006B712F">
              <w:rPr>
                <w:rFonts w:ascii="Times New Roman" w:hAnsi="Times New Roman"/>
              </w:rPr>
              <w:t xml:space="preserve"> (Print Name):</w:t>
            </w:r>
          </w:p>
        </w:tc>
        <w:tc>
          <w:tcPr>
            <w:tcW w:w="2790" w:type="dxa"/>
          </w:tcPr>
          <w:p w14:paraId="46FFF885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Signature:</w:t>
            </w:r>
          </w:p>
          <w:p w14:paraId="64EDEBC4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0" w:type="dxa"/>
          </w:tcPr>
          <w:p w14:paraId="167ABC29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Date Signed:</w:t>
            </w:r>
          </w:p>
          <w:p w14:paraId="7D913154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56676" w:rsidRPr="006B712F" w14:paraId="598F98E0" w14:textId="77777777" w:rsidTr="00BA14E3">
        <w:trPr>
          <w:trHeight w:val="458"/>
          <w:jc w:val="center"/>
        </w:trPr>
        <w:tc>
          <w:tcPr>
            <w:tcW w:w="4315" w:type="dxa"/>
          </w:tcPr>
          <w:p w14:paraId="181ACDA0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Concurred</w:t>
            </w:r>
            <w:r w:rsidRPr="006B712F">
              <w:rPr>
                <w:rFonts w:ascii="Times New Roman" w:hAnsi="Times New Roman"/>
                <w:b/>
                <w:bCs/>
              </w:rPr>
              <w:t xml:space="preserve"> by </w:t>
            </w:r>
            <w:r>
              <w:rPr>
                <w:rFonts w:ascii="Times New Roman" w:hAnsi="Times New Roman"/>
                <w:b/>
                <w:bCs/>
              </w:rPr>
              <w:t>Chief of Cultural Resources</w:t>
            </w:r>
            <w:r w:rsidRPr="006B712F">
              <w:rPr>
                <w:rFonts w:ascii="Times New Roman" w:hAnsi="Times New Roman"/>
              </w:rPr>
              <w:t xml:space="preserve"> (Print Name):</w:t>
            </w:r>
          </w:p>
        </w:tc>
        <w:tc>
          <w:tcPr>
            <w:tcW w:w="2790" w:type="dxa"/>
          </w:tcPr>
          <w:p w14:paraId="574F3C67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Signature:</w:t>
            </w:r>
          </w:p>
          <w:p w14:paraId="15CD2DFC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0" w:type="dxa"/>
          </w:tcPr>
          <w:p w14:paraId="7B69EBF8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Date Signed:</w:t>
            </w:r>
          </w:p>
          <w:p w14:paraId="298E779D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56676" w:rsidRPr="006B712F" w14:paraId="5CED8B25" w14:textId="77777777" w:rsidTr="00BA14E3">
        <w:trPr>
          <w:jc w:val="center"/>
        </w:trPr>
        <w:tc>
          <w:tcPr>
            <w:tcW w:w="4315" w:type="dxa"/>
          </w:tcPr>
          <w:p w14:paraId="74E8B738" w14:textId="77777777" w:rsidR="00A56676" w:rsidRPr="00057BA7" w:rsidRDefault="00A56676" w:rsidP="00BA14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Concurred by Chief of Interpretation</w:t>
            </w:r>
            <w:r w:rsidRPr="006B71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6B712F">
              <w:rPr>
                <w:rFonts w:ascii="Times New Roman" w:hAnsi="Times New Roman"/>
              </w:rPr>
              <w:t>(Print Name):</w:t>
            </w:r>
          </w:p>
        </w:tc>
        <w:tc>
          <w:tcPr>
            <w:tcW w:w="2790" w:type="dxa"/>
          </w:tcPr>
          <w:p w14:paraId="1EC9C420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Signature:</w:t>
            </w:r>
          </w:p>
          <w:p w14:paraId="3D75BEF1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0" w:type="dxa"/>
          </w:tcPr>
          <w:p w14:paraId="692AE9AE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Date Signed:</w:t>
            </w:r>
          </w:p>
          <w:p w14:paraId="2E53B904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56676" w:rsidRPr="006B712F" w14:paraId="6A0C5D78" w14:textId="77777777" w:rsidTr="00BA14E3">
        <w:trPr>
          <w:jc w:val="center"/>
        </w:trPr>
        <w:tc>
          <w:tcPr>
            <w:tcW w:w="4315" w:type="dxa"/>
          </w:tcPr>
          <w:p w14:paraId="1FFFE93A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  <w:r w:rsidRPr="006B712F">
              <w:rPr>
                <w:rFonts w:ascii="Times New Roman" w:hAnsi="Times New Roman"/>
                <w:b/>
                <w:bCs/>
              </w:rPr>
              <w:t>Approved by Superintendent</w:t>
            </w:r>
            <w:r w:rsidRPr="006B712F">
              <w:rPr>
                <w:rFonts w:ascii="Times New Roman" w:hAnsi="Times New Roman"/>
              </w:rPr>
              <w:t xml:space="preserve"> (Print Name):</w:t>
            </w:r>
          </w:p>
          <w:p w14:paraId="37A3274B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14:paraId="09273E31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Signature:</w:t>
            </w:r>
          </w:p>
          <w:p w14:paraId="41899E64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578E2BD5" w14:textId="77777777" w:rsidR="00A56676" w:rsidRPr="006B712F" w:rsidRDefault="00A56676" w:rsidP="00BA14E3">
            <w:pPr>
              <w:rPr>
                <w:rFonts w:ascii="Times New Roman" w:hAnsi="Times New Roman"/>
                <w:b/>
                <w:bCs/>
              </w:rPr>
            </w:pPr>
            <w:r w:rsidRPr="006B712F">
              <w:rPr>
                <w:rFonts w:ascii="Times New Roman" w:hAnsi="Times New Roman"/>
                <w:b/>
                <w:bCs/>
              </w:rPr>
              <w:t>Date Signed:</w:t>
            </w:r>
          </w:p>
          <w:p w14:paraId="04346B7D" w14:textId="77777777" w:rsidR="00A56676" w:rsidRPr="006B712F" w:rsidRDefault="00A56676" w:rsidP="00BA14E3">
            <w:pPr>
              <w:rPr>
                <w:rFonts w:ascii="Times New Roman" w:hAnsi="Times New Roman"/>
              </w:rPr>
            </w:pPr>
          </w:p>
        </w:tc>
      </w:tr>
    </w:tbl>
    <w:p w14:paraId="776AB43C" w14:textId="77777777" w:rsidR="00A56676" w:rsidRPr="005C0D14" w:rsidRDefault="00A56676" w:rsidP="00A56676">
      <w:pPr>
        <w:pStyle w:val="BodyText"/>
        <w:numPr>
          <w:ilvl w:val="0"/>
          <w:numId w:val="3"/>
        </w:numPr>
        <w:tabs>
          <w:tab w:val="clear" w:pos="-720"/>
        </w:tabs>
        <w:suppressAutoHyphens w:val="0"/>
        <w:autoSpaceDE w:val="0"/>
        <w:autoSpaceDN w:val="0"/>
        <w:spacing w:before="120" w:line="240" w:lineRule="auto"/>
        <w:ind w:left="806" w:right="922" w:hanging="360"/>
        <w:jc w:val="left"/>
        <w:rPr>
          <w:rFonts w:ascii="Times New Roman" w:hAnsi="Times New Roman"/>
          <w:b/>
          <w:bCs/>
          <w:sz w:val="20"/>
          <w:szCs w:val="20"/>
        </w:rPr>
      </w:pPr>
      <w:bookmarkStart w:id="0" w:name="_Hlk156493667"/>
      <w:r w:rsidRPr="005C0D14">
        <w:rPr>
          <w:rFonts w:ascii="Times New Roman" w:hAnsi="Times New Roman"/>
          <w:b/>
          <w:bCs/>
          <w:sz w:val="20"/>
          <w:szCs w:val="20"/>
        </w:rPr>
        <w:t>Purpose</w:t>
      </w:r>
    </w:p>
    <w:p w14:paraId="5391545D" w14:textId="77777777" w:rsidR="00A56676" w:rsidRDefault="00A56676" w:rsidP="00A56676">
      <w:pPr>
        <w:pStyle w:val="BodyText"/>
        <w:spacing w:before="80" w:line="240" w:lineRule="auto"/>
        <w:ind w:left="806" w:right="922"/>
        <w:jc w:val="left"/>
        <w:rPr>
          <w:rFonts w:ascii="Times New Roman" w:hAnsi="Times New Roman"/>
          <w:sz w:val="20"/>
          <w:szCs w:val="20"/>
        </w:rPr>
      </w:pPr>
      <w:bookmarkStart w:id="1" w:name="_Hlk155778494"/>
      <w:r w:rsidRPr="005C0D14">
        <w:rPr>
          <w:rFonts w:ascii="Times New Roman" w:hAnsi="Times New Roman"/>
          <w:sz w:val="20"/>
          <w:szCs w:val="20"/>
        </w:rPr>
        <w:t xml:space="preserve">This Standard Operating Procedure (SOP) provides National Park Service </w:t>
      </w:r>
      <w:r>
        <w:rPr>
          <w:rFonts w:ascii="Times New Roman" w:hAnsi="Times New Roman"/>
          <w:sz w:val="20"/>
          <w:szCs w:val="20"/>
        </w:rPr>
        <w:t xml:space="preserve">(NPS) </w:t>
      </w:r>
      <w:r w:rsidRPr="005C0D14">
        <w:rPr>
          <w:rFonts w:ascii="Times New Roman" w:hAnsi="Times New Roman"/>
          <w:sz w:val="20"/>
          <w:szCs w:val="20"/>
        </w:rPr>
        <w:t>safety and security procedures for contract work done at the park on museum collections and structures storing and exhibiting collections.</w:t>
      </w:r>
      <w:r>
        <w:rPr>
          <w:rFonts w:ascii="Times New Roman" w:hAnsi="Times New Roman"/>
          <w:sz w:val="20"/>
          <w:szCs w:val="20"/>
        </w:rPr>
        <w:t xml:space="preserve">  It </w:t>
      </w:r>
      <w:r w:rsidRPr="00D060B4">
        <w:rPr>
          <w:rFonts w:ascii="Times New Roman" w:hAnsi="Times New Roman"/>
          <w:spacing w:val="-3"/>
          <w:sz w:val="20"/>
          <w:szCs w:val="20"/>
        </w:rPr>
        <w:t xml:space="preserve">applies to all </w:t>
      </w:r>
      <w:r w:rsidRPr="00D060B4">
        <w:rPr>
          <w:rFonts w:ascii="Times New Roman" w:hAnsi="Times New Roman"/>
          <w:sz w:val="20"/>
          <w:szCs w:val="20"/>
        </w:rPr>
        <w:t xml:space="preserve">contractors working </w:t>
      </w:r>
      <w:r>
        <w:rPr>
          <w:rFonts w:ascii="Times New Roman" w:hAnsi="Times New Roman"/>
          <w:sz w:val="20"/>
          <w:szCs w:val="20"/>
        </w:rPr>
        <w:t xml:space="preserve">with park collections and/or on structures housing collections (“secure facilities”), including </w:t>
      </w:r>
      <w:r w:rsidRPr="00D060B4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i/>
          <w:color w:val="0070C0"/>
          <w:spacing w:val="0"/>
          <w:sz w:val="20"/>
          <w:szCs w:val="20"/>
        </w:rPr>
        <w:t>c</w:t>
      </w:r>
      <w:r w:rsidRPr="00F44918">
        <w:rPr>
          <w:rFonts w:ascii="Times New Roman" w:hAnsi="Times New Roman"/>
          <w:i/>
          <w:color w:val="0070C0"/>
          <w:spacing w:val="0"/>
          <w:sz w:val="20"/>
          <w:szCs w:val="20"/>
        </w:rPr>
        <w:t>ollections storage name</w:t>
      </w:r>
      <w:r w:rsidRPr="00D060B4">
        <w:rPr>
          <w:rFonts w:ascii="Times New Roman" w:hAnsi="Times New Roman"/>
          <w:sz w:val="20"/>
          <w:szCs w:val="20"/>
        </w:rPr>
        <w:t>] and [</w:t>
      </w:r>
      <w:r w:rsidRPr="00F44918">
        <w:rPr>
          <w:rFonts w:ascii="Times New Roman" w:hAnsi="Times New Roman"/>
          <w:i/>
          <w:color w:val="0070C0"/>
          <w:spacing w:val="0"/>
          <w:sz w:val="20"/>
          <w:szCs w:val="20"/>
        </w:rPr>
        <w:t>furnished historic structure na</w:t>
      </w:r>
      <w:r w:rsidRPr="00D05C0B">
        <w:rPr>
          <w:rFonts w:ascii="Times New Roman" w:hAnsi="Times New Roman"/>
          <w:i/>
          <w:color w:val="0070C0"/>
          <w:spacing w:val="0"/>
          <w:sz w:val="20"/>
          <w:szCs w:val="20"/>
        </w:rPr>
        <w:t>me</w:t>
      </w:r>
      <w:r w:rsidRPr="00D060B4">
        <w:rPr>
          <w:rFonts w:ascii="Times New Roman" w:hAnsi="Times New Roman"/>
          <w:sz w:val="20"/>
          <w:szCs w:val="20"/>
        </w:rPr>
        <w:t>].</w:t>
      </w:r>
    </w:p>
    <w:p w14:paraId="095E434A" w14:textId="77777777" w:rsidR="00A56676" w:rsidRPr="00DD1DAE" w:rsidRDefault="00A56676" w:rsidP="00A56676">
      <w:pPr>
        <w:pStyle w:val="BodyText"/>
        <w:spacing w:before="80" w:line="240" w:lineRule="auto"/>
        <w:ind w:left="806" w:right="922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Work will be done in accordance with </w:t>
      </w:r>
      <w:r w:rsidRPr="00D05C0B">
        <w:rPr>
          <w:rFonts w:ascii="Times New Roman" w:hAnsi="Times New Roman"/>
          <w:sz w:val="20"/>
          <w:szCs w:val="20"/>
        </w:rPr>
        <w:t>54 USC 100101</w:t>
      </w:r>
      <w:r>
        <w:rPr>
          <w:rFonts w:ascii="Times New Roman" w:hAnsi="Times New Roman"/>
          <w:sz w:val="20"/>
          <w:szCs w:val="20"/>
        </w:rPr>
        <w:t xml:space="preserve">: Promotion and regulation and </w:t>
      </w:r>
      <w:r w:rsidRPr="003E1775">
        <w:rPr>
          <w:rFonts w:ascii="Times New Roman" w:hAnsi="Times New Roman"/>
          <w:sz w:val="20"/>
          <w:szCs w:val="20"/>
        </w:rPr>
        <w:t>54 USC 102501 et seq.</w:t>
      </w:r>
      <w:r>
        <w:rPr>
          <w:rFonts w:ascii="Times New Roman" w:hAnsi="Times New Roman"/>
          <w:sz w:val="20"/>
          <w:szCs w:val="20"/>
        </w:rPr>
        <w:t xml:space="preserve">: Museums, and NPS </w:t>
      </w:r>
      <w:r w:rsidRPr="00DD1DAE">
        <w:rPr>
          <w:rFonts w:ascii="Times New Roman" w:hAnsi="Times New Roman"/>
          <w:i/>
          <w:iCs/>
          <w:sz w:val="20"/>
          <w:szCs w:val="20"/>
        </w:rPr>
        <w:t>Museum Handbook</w:t>
      </w:r>
      <w:r w:rsidRPr="00DD1DAE">
        <w:rPr>
          <w:rFonts w:ascii="Times New Roman" w:hAnsi="Times New Roman"/>
          <w:sz w:val="20"/>
          <w:szCs w:val="20"/>
        </w:rPr>
        <w:t>, Part I: Museum Collections, Chapter 14: Museum Security</w:t>
      </w:r>
      <w:r>
        <w:rPr>
          <w:rFonts w:ascii="Times New Roman" w:hAnsi="Times New Roman"/>
          <w:sz w:val="20"/>
          <w:szCs w:val="20"/>
        </w:rPr>
        <w:t>.</w:t>
      </w:r>
    </w:p>
    <w:p w14:paraId="004816A6" w14:textId="77777777" w:rsidR="00A56676" w:rsidRPr="00D73B2F" w:rsidRDefault="00A56676" w:rsidP="00A56676">
      <w:pPr>
        <w:pStyle w:val="BodyText"/>
        <w:numPr>
          <w:ilvl w:val="0"/>
          <w:numId w:val="3"/>
        </w:numPr>
        <w:tabs>
          <w:tab w:val="clear" w:pos="-720"/>
        </w:tabs>
        <w:suppressAutoHyphens w:val="0"/>
        <w:autoSpaceDE w:val="0"/>
        <w:autoSpaceDN w:val="0"/>
        <w:spacing w:before="120" w:line="240" w:lineRule="auto"/>
        <w:ind w:left="806" w:right="928" w:hanging="360"/>
        <w:jc w:val="left"/>
        <w:rPr>
          <w:rFonts w:ascii="Times New Roman" w:hAnsi="Times New Roman"/>
          <w:b/>
          <w:bCs/>
          <w:sz w:val="20"/>
          <w:szCs w:val="20"/>
        </w:rPr>
      </w:pPr>
      <w:bookmarkStart w:id="2" w:name="_Hlk156493691"/>
      <w:bookmarkEnd w:id="0"/>
      <w:bookmarkEnd w:id="1"/>
      <w:r w:rsidRPr="00D73B2F">
        <w:rPr>
          <w:rFonts w:ascii="Times New Roman" w:hAnsi="Times New Roman"/>
          <w:b/>
          <w:bCs/>
          <w:sz w:val="20"/>
          <w:szCs w:val="20"/>
        </w:rPr>
        <w:t>Contractor Responsibilities and Procedures</w:t>
      </w:r>
    </w:p>
    <w:bookmarkEnd w:id="2"/>
    <w:p w14:paraId="68998A96" w14:textId="77777777" w:rsidR="00A56676" w:rsidRPr="00D73B2F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before="80" w:after="120"/>
        <w:ind w:left="806" w:right="590"/>
      </w:pPr>
      <w:r w:rsidRPr="00D73B2F">
        <w:t xml:space="preserve">Convene orientation meeting </w:t>
      </w:r>
      <w:r>
        <w:t>with</w:t>
      </w:r>
      <w:r w:rsidRPr="00D73B2F">
        <w:t xml:space="preserve"> </w:t>
      </w:r>
      <w:r>
        <w:t>[</w:t>
      </w:r>
      <w:r w:rsidRPr="00D73B2F">
        <w:t>(</w:t>
      </w:r>
      <w:r>
        <w:t xml:space="preserve">superintendent, </w:t>
      </w:r>
      <w:r w:rsidRPr="00D73B2F">
        <w:rPr>
          <w:i/>
          <w:color w:val="0070C0"/>
        </w:rPr>
        <w:t xml:space="preserve">curator, facility manager, physical security coordinator, park structural fire coordinator, </w:t>
      </w:r>
      <w:r>
        <w:rPr>
          <w:i/>
          <w:color w:val="0070C0"/>
        </w:rPr>
        <w:t>project manager</w:t>
      </w:r>
      <w:r w:rsidRPr="00D73B2F">
        <w:rPr>
          <w:i/>
          <w:color w:val="0070C0"/>
        </w:rPr>
        <w:t xml:space="preserve"> </w:t>
      </w:r>
      <w:r w:rsidRPr="00D73B2F">
        <w:t>and others</w:t>
      </w:r>
      <w:r>
        <w:t>]</w:t>
      </w:r>
      <w:r w:rsidRPr="00D73B2F">
        <w:t>, prior to the initiation of work to discuss project including: park Point of Contact (POC), designated NPS monitoring staff; work location(s); schedule; contractor and subcontractor</w:t>
      </w:r>
      <w:r>
        <w:t xml:space="preserve"> roster</w:t>
      </w:r>
      <w:r w:rsidRPr="00D73B2F">
        <w:t>; equipment; projected electrical and other utility usage; parking, designated entry/exit and break locations; fire prevention; emergency response procedures</w:t>
      </w:r>
      <w:r>
        <w:t xml:space="preserve">; </w:t>
      </w:r>
      <w:r w:rsidRPr="00D73B2F">
        <w:t>and other work, maintenance, access, safety, and/or security issues.</w:t>
      </w:r>
      <w:r>
        <w:t xml:space="preserve">  </w:t>
      </w:r>
      <w:r w:rsidRPr="00D73B2F">
        <w:t xml:space="preserve">Determine daily briefing meeting procedures; hot work </w:t>
      </w:r>
      <w:r>
        <w:t>schedule</w:t>
      </w:r>
      <w:r w:rsidRPr="00D73B2F">
        <w:t>; when smoke detectors and/or sprinkler heads are to be covered; and contact procedures in the event of alarm annunciation, circuit breaker trip, or power outage.</w:t>
      </w:r>
      <w:r>
        <w:t xml:space="preserve">  </w:t>
      </w:r>
      <w:r w:rsidRPr="00D73B2F">
        <w:t xml:space="preserve">Coordinate with curator in advance to relocate </w:t>
      </w:r>
      <w:r>
        <w:t>collections</w:t>
      </w:r>
      <w:r w:rsidRPr="00D73B2F">
        <w:t>, furnishings, equipment, and other items for contractual work purposes.</w:t>
      </w:r>
    </w:p>
    <w:p w14:paraId="656683BE" w14:textId="77777777" w:rsidR="00A56676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20"/>
        <w:ind w:left="806" w:right="994"/>
      </w:pPr>
      <w:bookmarkStart w:id="3" w:name="_Hlk156493734"/>
      <w:r w:rsidRPr="000B6BB5">
        <w:t>Contractors agree to</w:t>
      </w:r>
      <w:r>
        <w:t xml:space="preserve"> be </w:t>
      </w:r>
      <w:proofErr w:type="gramStart"/>
      <w:r>
        <w:t>monitored by designated NPS staff at all times</w:t>
      </w:r>
      <w:proofErr w:type="gramEnd"/>
      <w:r>
        <w:t xml:space="preserve"> and locations and</w:t>
      </w:r>
      <w:r w:rsidRPr="000B6BB5">
        <w:t xml:space="preserve"> abide by the </w:t>
      </w:r>
      <w:r>
        <w:t>responsibilities and procedures outlined in this SOP.</w:t>
      </w:r>
      <w:r w:rsidRPr="00BC145F">
        <w:t xml:space="preserve">  </w:t>
      </w:r>
      <w:r>
        <w:t>Designated</w:t>
      </w:r>
      <w:r w:rsidRPr="00D060B4">
        <w:t xml:space="preserve"> NPS staff will serve as POC for the work </w:t>
      </w:r>
      <w:proofErr w:type="gramStart"/>
      <w:r w:rsidRPr="00D060B4">
        <w:t>period, and</w:t>
      </w:r>
      <w:proofErr w:type="gramEnd"/>
      <w:r w:rsidRPr="00D060B4">
        <w:t xml:space="preserve"> will coordinate directly with contractors and the project manager for additional needs (relief, breaks, supply/equipment deliveries</w:t>
      </w:r>
      <w:r>
        <w:t>,</w:t>
      </w:r>
      <w:r w:rsidRPr="00D060B4">
        <w:t xml:space="preserve"> etc.).</w:t>
      </w:r>
      <w:r>
        <w:t xml:space="preserve">  </w:t>
      </w:r>
      <w:r w:rsidRPr="000B6BB5">
        <w:t xml:space="preserve">There is no expectation of privacy in secure facilities.  </w:t>
      </w:r>
      <w:r>
        <w:t xml:space="preserve">Fire-resistive coverings </w:t>
      </w:r>
      <w:r w:rsidRPr="000B6BB5">
        <w:t xml:space="preserve">must be installed in </w:t>
      </w:r>
      <w:r>
        <w:t>consultation</w:t>
      </w:r>
      <w:r w:rsidRPr="000B6BB5">
        <w:t xml:space="preserve"> with </w:t>
      </w:r>
      <w:r>
        <w:t xml:space="preserve">the curator </w:t>
      </w:r>
      <w:r w:rsidRPr="000B6BB5">
        <w:t xml:space="preserve">to </w:t>
      </w:r>
      <w:r>
        <w:t xml:space="preserve">protect collections without impeding </w:t>
      </w:r>
      <w:r w:rsidRPr="00BC145F">
        <w:t xml:space="preserve">monitoring.  </w:t>
      </w:r>
      <w:r>
        <w:t>Designated</w:t>
      </w:r>
      <w:r w:rsidRPr="000B6BB5">
        <w:t xml:space="preserve"> NPS staff will maintain line of sight with the contractors, continually be present in the immediate vicinity during all phases of on-site work</w:t>
      </w:r>
      <w:r>
        <w:t>, conduct end of day walkthrough, and notify contractor immediately if any issues such as tripping hazards or misused equipment are noted</w:t>
      </w:r>
      <w:r w:rsidRPr="000B6BB5">
        <w:t>.</w:t>
      </w:r>
    </w:p>
    <w:bookmarkEnd w:id="3"/>
    <w:p w14:paraId="28D903CA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20"/>
        <w:ind w:left="806" w:right="991"/>
      </w:pPr>
      <w:r w:rsidRPr="001C78D4">
        <w:t>Contractors</w:t>
      </w:r>
      <w:r w:rsidRPr="00D060B4">
        <w:rPr>
          <w:spacing w:val="-4"/>
        </w:rPr>
        <w:t xml:space="preserve"> </w:t>
      </w:r>
      <w:r>
        <w:rPr>
          <w:spacing w:val="-4"/>
        </w:rPr>
        <w:t xml:space="preserve">will </w:t>
      </w:r>
      <w:r w:rsidRPr="00D060B4">
        <w:t>be</w:t>
      </w:r>
      <w:r w:rsidRPr="00D060B4">
        <w:rPr>
          <w:spacing w:val="-5"/>
        </w:rPr>
        <w:t xml:space="preserve"> </w:t>
      </w:r>
      <w:r>
        <w:rPr>
          <w:spacing w:val="-5"/>
        </w:rPr>
        <w:t>readily</w:t>
      </w:r>
      <w:r w:rsidRPr="00D060B4">
        <w:rPr>
          <w:spacing w:val="-2"/>
        </w:rPr>
        <w:t xml:space="preserve"> </w:t>
      </w:r>
      <w:r w:rsidRPr="00D060B4">
        <w:t>identifiable</w:t>
      </w:r>
      <w:r w:rsidRPr="00D060B4">
        <w:rPr>
          <w:spacing w:val="-3"/>
        </w:rPr>
        <w:t xml:space="preserve"> </w:t>
      </w:r>
      <w:r w:rsidRPr="00D060B4">
        <w:t>by NPS</w:t>
      </w:r>
      <w:r w:rsidRPr="00D060B4">
        <w:rPr>
          <w:spacing w:val="-5"/>
        </w:rPr>
        <w:t xml:space="preserve"> </w:t>
      </w:r>
      <w:r w:rsidRPr="00D060B4">
        <w:t>staff.  Contractors and their team are required to wear identification badges or name tags in a visible location while on-site, log in and out by name and time, and provide names of all parties working for or with them.  [</w:t>
      </w:r>
      <w:r w:rsidRPr="00F44918">
        <w:rPr>
          <w:i/>
          <w:color w:val="0070C0"/>
        </w:rPr>
        <w:t xml:space="preserve">Park </w:t>
      </w:r>
      <w:r>
        <w:rPr>
          <w:i/>
          <w:color w:val="0070C0"/>
        </w:rPr>
        <w:t>contractor badge provided</w:t>
      </w:r>
      <w:r w:rsidRPr="00F44918">
        <w:rPr>
          <w:i/>
          <w:color w:val="0070C0"/>
        </w:rPr>
        <w:t>.</w:t>
      </w:r>
      <w:r w:rsidRPr="00D060B4">
        <w:t>]</w:t>
      </w:r>
    </w:p>
    <w:p w14:paraId="28732836" w14:textId="77777777" w:rsidR="00A56676" w:rsidRDefault="00A56676" w:rsidP="00A56676">
      <w:pPr>
        <w:pStyle w:val="ListParagraph"/>
        <w:ind w:left="446" w:right="500"/>
        <w:jc w:val="center"/>
        <w:rPr>
          <w:b/>
          <w:bCs/>
        </w:rPr>
      </w:pPr>
    </w:p>
    <w:p w14:paraId="64DA7290" w14:textId="77E899B7" w:rsidR="00A56676" w:rsidRDefault="00A56676" w:rsidP="00A56676">
      <w:pPr>
        <w:pStyle w:val="ListParagraph"/>
        <w:ind w:left="446" w:right="317"/>
        <w:jc w:val="center"/>
        <w:rPr>
          <w:b/>
          <w:bCs/>
        </w:rPr>
      </w:pPr>
      <w:r w:rsidRPr="0009055F">
        <w:rPr>
          <w:b/>
          <w:bCs/>
        </w:rPr>
        <w:t>Figure 14.4. Standard Operating Procedures:</w:t>
      </w:r>
      <w:r>
        <w:rPr>
          <w:b/>
          <w:bCs/>
        </w:rPr>
        <w:br/>
      </w:r>
      <w:r w:rsidRPr="0009055F">
        <w:rPr>
          <w:b/>
          <w:bCs/>
        </w:rPr>
        <w:t>Contractors Working with Museum Collections and in Structures Housing Collections</w:t>
      </w:r>
      <w:r>
        <w:rPr>
          <w:b/>
          <w:bCs/>
        </w:rPr>
        <w:t xml:space="preserve"> (Sample)</w:t>
      </w:r>
    </w:p>
    <w:p w14:paraId="315DFB77" w14:textId="77777777" w:rsidR="00A56676" w:rsidRDefault="00A56676">
      <w:pPr>
        <w:widowControl/>
        <w:spacing w:after="160" w:line="259" w:lineRule="auto"/>
        <w:rPr>
          <w:rFonts w:ascii="Times New Roman" w:hAnsi="Times New Roman"/>
          <w:b/>
          <w:bCs/>
        </w:rPr>
      </w:pPr>
      <w:r>
        <w:rPr>
          <w:b/>
          <w:bCs/>
        </w:rPr>
        <w:br w:type="page"/>
      </w:r>
    </w:p>
    <w:p w14:paraId="3CF7579B" w14:textId="77777777" w:rsidR="00A56676" w:rsidRPr="0009055F" w:rsidRDefault="00A56676" w:rsidP="00A56676">
      <w:pPr>
        <w:pStyle w:val="ListParagraph"/>
        <w:ind w:left="446" w:right="317"/>
        <w:jc w:val="center"/>
        <w:rPr>
          <w:b/>
          <w:bCs/>
        </w:rPr>
      </w:pPr>
    </w:p>
    <w:p w14:paraId="2B69DB13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991"/>
      </w:pPr>
      <w:r w:rsidRPr="00D060B4">
        <w:t xml:space="preserve">Contractors will meet with </w:t>
      </w:r>
      <w:r>
        <w:t>designated</w:t>
      </w:r>
      <w:r w:rsidRPr="00D060B4">
        <w:t xml:space="preserve"> NPS staff at an established schedule [</w:t>
      </w:r>
      <w:r w:rsidRPr="00F44918">
        <w:rPr>
          <w:i/>
          <w:color w:val="0070C0"/>
        </w:rPr>
        <w:t>time and location</w:t>
      </w:r>
      <w:r w:rsidRPr="00D060B4">
        <w:t>]</w:t>
      </w:r>
      <w:r>
        <w:t xml:space="preserve"> to</w:t>
      </w:r>
      <w:r w:rsidRPr="00D060B4">
        <w:t xml:space="preserve"> review daily work plans</w:t>
      </w:r>
      <w:r>
        <w:t xml:space="preserve"> and task progress checklist</w:t>
      </w:r>
      <w:r w:rsidRPr="00D060B4">
        <w:t xml:space="preserve">.  On arrival, contractors and their teams will sign in, receive identification badges, and be accompanied by </w:t>
      </w:r>
      <w:r>
        <w:t>designated</w:t>
      </w:r>
      <w:r w:rsidRPr="00D060B4">
        <w:t xml:space="preserve"> NPS staff to [</w:t>
      </w:r>
      <w:r w:rsidRPr="00F44918">
        <w:rPr>
          <w:i/>
          <w:color w:val="0070C0"/>
        </w:rPr>
        <w:t>work location</w:t>
      </w:r>
      <w:r w:rsidRPr="00D060B4">
        <w:t>] to avoid impacting staff and/or public tour access.</w:t>
      </w:r>
    </w:p>
    <w:p w14:paraId="17063CCD" w14:textId="77777777" w:rsidR="00A56676" w:rsidRPr="00725CF7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991"/>
      </w:pPr>
      <w:bookmarkStart w:id="4" w:name="_Hlk155779835"/>
      <w:r w:rsidRPr="00725CF7">
        <w:t xml:space="preserve">Backpacks, </w:t>
      </w:r>
      <w:r w:rsidRPr="003D5408">
        <w:t xml:space="preserve">oversized </w:t>
      </w:r>
      <w:r w:rsidRPr="00725CF7">
        <w:t xml:space="preserve">bags, boxes, tool cases, and other containers are subject to inspection at any time.  Bags, backpacks, and other </w:t>
      </w:r>
      <w:r w:rsidRPr="003D5408">
        <w:t>large [</w:t>
      </w:r>
      <w:r w:rsidRPr="003D5408">
        <w:rPr>
          <w:i/>
          <w:color w:val="0070C0"/>
        </w:rPr>
        <w:t>dimensions</w:t>
      </w:r>
      <w:r w:rsidRPr="003D5408">
        <w:t xml:space="preserve">] </w:t>
      </w:r>
      <w:r w:rsidRPr="00725CF7">
        <w:t xml:space="preserve">containers are not permitted inside structures housing collections unless authorized in writing by the </w:t>
      </w:r>
      <w:proofErr w:type="gramStart"/>
      <w:r w:rsidRPr="00725CF7">
        <w:t xml:space="preserve">curator, </w:t>
      </w:r>
      <w:r w:rsidRPr="003D5408">
        <w:t>and</w:t>
      </w:r>
      <w:proofErr w:type="gramEnd"/>
      <w:r w:rsidRPr="003D5408">
        <w:t xml:space="preserve"> are to be stored outside the structure</w:t>
      </w:r>
      <w:r w:rsidRPr="00725CF7">
        <w:t>.  Containers, carts, dollies, etc. are not to damage collections or structural elements.</w:t>
      </w:r>
    </w:p>
    <w:bookmarkEnd w:id="4"/>
    <w:p w14:paraId="6557303B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 xml:space="preserve">Smoking is </w:t>
      </w:r>
      <w:r w:rsidRPr="00314BA2">
        <w:rPr>
          <w:spacing w:val="-2"/>
        </w:rPr>
        <w:t xml:space="preserve">strictly prohibited in and within 25 feet of structures exhibiting or storing collections.  </w:t>
      </w:r>
      <w:r w:rsidRPr="002649CB">
        <w:rPr>
          <w:spacing w:val="-2"/>
        </w:rPr>
        <w:t xml:space="preserve">Contractors </w:t>
      </w:r>
      <w:r>
        <w:rPr>
          <w:spacing w:val="-2"/>
        </w:rPr>
        <w:t>must follow</w:t>
      </w:r>
      <w:r w:rsidRPr="002649CB">
        <w:rPr>
          <w:spacing w:val="-2"/>
        </w:rPr>
        <w:t xml:space="preserve"> applicable federal health and safety </w:t>
      </w:r>
      <w:r>
        <w:rPr>
          <w:spacing w:val="-2"/>
        </w:rPr>
        <w:t xml:space="preserve">laws and regulations, </w:t>
      </w:r>
      <w:r w:rsidRPr="007A492C">
        <w:rPr>
          <w:spacing w:val="-2"/>
        </w:rPr>
        <w:t>NPS Director’s Order 50D: Smoking Policy</w:t>
      </w:r>
      <w:r>
        <w:rPr>
          <w:spacing w:val="-2"/>
        </w:rPr>
        <w:t xml:space="preserve">, </w:t>
      </w:r>
      <w:r>
        <w:t xml:space="preserve">NPS </w:t>
      </w:r>
      <w:r>
        <w:rPr>
          <w:i/>
          <w:iCs/>
        </w:rPr>
        <w:t>MH</w:t>
      </w:r>
      <w:r>
        <w:t xml:space="preserve"> I.9: Museum Fire Protection, and NPS Reference Manual 50B: Occupational Safety and Health Program.</w:t>
      </w:r>
    </w:p>
    <w:p w14:paraId="5CE22445" w14:textId="77777777" w:rsidR="00A56676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>Food,</w:t>
      </w:r>
      <w:r w:rsidRPr="00D060B4">
        <w:rPr>
          <w:spacing w:val="-2"/>
        </w:rPr>
        <w:t xml:space="preserve"> </w:t>
      </w:r>
      <w:r w:rsidRPr="00D060B4">
        <w:t>beverages,</w:t>
      </w:r>
      <w:r w:rsidRPr="00D060B4">
        <w:rPr>
          <w:spacing w:val="-2"/>
        </w:rPr>
        <w:t xml:space="preserve"> </w:t>
      </w:r>
      <w:r w:rsidRPr="00D060B4">
        <w:t>and</w:t>
      </w:r>
      <w:r w:rsidRPr="00D060B4">
        <w:rPr>
          <w:spacing w:val="-5"/>
        </w:rPr>
        <w:t xml:space="preserve"> </w:t>
      </w:r>
      <w:r w:rsidRPr="00D060B4">
        <w:t>chewing</w:t>
      </w:r>
      <w:r w:rsidRPr="00D060B4">
        <w:rPr>
          <w:spacing w:val="-4"/>
        </w:rPr>
        <w:t xml:space="preserve"> </w:t>
      </w:r>
      <w:r w:rsidRPr="00D060B4">
        <w:t>gum</w:t>
      </w:r>
      <w:r w:rsidRPr="00D060B4">
        <w:rPr>
          <w:spacing w:val="-3"/>
        </w:rPr>
        <w:t xml:space="preserve"> </w:t>
      </w:r>
      <w:r w:rsidRPr="00D060B4">
        <w:t>are</w:t>
      </w:r>
      <w:r w:rsidRPr="00D060B4">
        <w:rPr>
          <w:spacing w:val="-4"/>
        </w:rPr>
        <w:t xml:space="preserve"> </w:t>
      </w:r>
      <w:r w:rsidRPr="00D060B4">
        <w:t>prohibited</w:t>
      </w:r>
      <w:r w:rsidRPr="00D060B4">
        <w:rPr>
          <w:spacing w:val="-5"/>
        </w:rPr>
        <w:t xml:space="preserve"> </w:t>
      </w:r>
      <w:r w:rsidRPr="00D060B4">
        <w:t>in</w:t>
      </w:r>
      <w:r w:rsidRPr="00D060B4">
        <w:rPr>
          <w:spacing w:val="-4"/>
        </w:rPr>
        <w:t xml:space="preserve"> spaces </w:t>
      </w:r>
      <w:r>
        <w:rPr>
          <w:spacing w:val="-4"/>
        </w:rPr>
        <w:t>exhibiting or storing</w:t>
      </w:r>
      <w:r w:rsidRPr="00D060B4">
        <w:rPr>
          <w:spacing w:val="-4"/>
        </w:rPr>
        <w:t xml:space="preserve"> collections</w:t>
      </w:r>
      <w:r w:rsidRPr="00D060B4">
        <w:t>.</w:t>
      </w:r>
    </w:p>
    <w:p w14:paraId="6A9646ED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991"/>
      </w:pPr>
      <w:r w:rsidRPr="00D060B4">
        <w:t>Contractors’ friends or family are not permitted at the work</w:t>
      </w:r>
      <w:r>
        <w:t xml:space="preserve"> </w:t>
      </w:r>
      <w:r w:rsidRPr="00D060B4">
        <w:t>site.</w:t>
      </w:r>
      <w:r w:rsidRPr="00314BA2">
        <w:rPr>
          <w:spacing w:val="-4"/>
        </w:rPr>
        <w:t xml:space="preserve">  </w:t>
      </w:r>
      <w:r>
        <w:rPr>
          <w:spacing w:val="-4"/>
        </w:rPr>
        <w:t>Pets</w:t>
      </w:r>
      <w:r w:rsidRPr="00D060B4">
        <w:rPr>
          <w:spacing w:val="-2"/>
        </w:rPr>
        <w:t xml:space="preserve"> </w:t>
      </w:r>
      <w:r w:rsidRPr="00D060B4">
        <w:t>are</w:t>
      </w:r>
      <w:r w:rsidRPr="00D060B4">
        <w:rPr>
          <w:spacing w:val="-3"/>
        </w:rPr>
        <w:t xml:space="preserve"> </w:t>
      </w:r>
      <w:r w:rsidRPr="00D060B4">
        <w:t>not</w:t>
      </w:r>
      <w:r w:rsidRPr="00D060B4">
        <w:rPr>
          <w:spacing w:val="-1"/>
        </w:rPr>
        <w:t xml:space="preserve"> </w:t>
      </w:r>
      <w:r w:rsidRPr="00D060B4">
        <w:t>permitted</w:t>
      </w:r>
      <w:r w:rsidRPr="00D060B4">
        <w:rPr>
          <w:spacing w:val="-1"/>
        </w:rPr>
        <w:t xml:space="preserve"> </w:t>
      </w:r>
      <w:r w:rsidRPr="00D060B4">
        <w:t>on</w:t>
      </w:r>
      <w:r w:rsidRPr="00D060B4">
        <w:rPr>
          <w:spacing w:val="-8"/>
        </w:rPr>
        <w:t xml:space="preserve"> </w:t>
      </w:r>
      <w:r w:rsidRPr="00D060B4">
        <w:t>the</w:t>
      </w:r>
      <w:r w:rsidRPr="00D060B4">
        <w:rPr>
          <w:spacing w:val="-3"/>
        </w:rPr>
        <w:t xml:space="preserve"> </w:t>
      </w:r>
      <w:r w:rsidRPr="00D060B4">
        <w:t>work</w:t>
      </w:r>
      <w:r>
        <w:t xml:space="preserve"> </w:t>
      </w:r>
      <w:r w:rsidRPr="00D060B4">
        <w:t>site [</w:t>
      </w:r>
      <w:r w:rsidRPr="00753538">
        <w:rPr>
          <w:i/>
          <w:color w:val="0070C0"/>
        </w:rPr>
        <w:t xml:space="preserve">except </w:t>
      </w:r>
      <w:r w:rsidRPr="00F44918">
        <w:rPr>
          <w:i/>
          <w:color w:val="0070C0"/>
        </w:rPr>
        <w:t>service animals</w:t>
      </w:r>
      <w:r w:rsidRPr="00D060B4">
        <w:t>].</w:t>
      </w:r>
    </w:p>
    <w:p w14:paraId="222BE677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>Contractors</w:t>
      </w:r>
      <w:r w:rsidRPr="00753538">
        <w:rPr>
          <w:spacing w:val="-3"/>
        </w:rPr>
        <w:t xml:space="preserve"> must</w:t>
      </w:r>
      <w:r w:rsidRPr="00753538">
        <w:rPr>
          <w:spacing w:val="-4"/>
        </w:rPr>
        <w:t xml:space="preserve"> </w:t>
      </w:r>
      <w:r w:rsidRPr="00D060B4">
        <w:t>adhere</w:t>
      </w:r>
      <w:r w:rsidRPr="00753538">
        <w:rPr>
          <w:spacing w:val="-4"/>
        </w:rPr>
        <w:t xml:space="preserve"> </w:t>
      </w:r>
      <w:r w:rsidRPr="00D060B4">
        <w:t>to</w:t>
      </w:r>
      <w:r w:rsidRPr="00753538">
        <w:rPr>
          <w:spacing w:val="-4"/>
        </w:rPr>
        <w:t xml:space="preserve"> </w:t>
      </w:r>
      <w:r w:rsidRPr="00D060B4">
        <w:t>the</w:t>
      </w:r>
      <w:r w:rsidRPr="00753538">
        <w:rPr>
          <w:spacing w:val="-4"/>
        </w:rPr>
        <w:t xml:space="preserve"> </w:t>
      </w:r>
      <w:r w:rsidRPr="00D060B4">
        <w:t>working</w:t>
      </w:r>
      <w:r w:rsidRPr="00753538">
        <w:rPr>
          <w:spacing w:val="-2"/>
        </w:rPr>
        <w:t xml:space="preserve"> </w:t>
      </w:r>
      <w:r w:rsidRPr="00D060B4">
        <w:t>hours/days</w:t>
      </w:r>
      <w:r>
        <w:t>/areas</w:t>
      </w:r>
      <w:r w:rsidRPr="00753538">
        <w:rPr>
          <w:spacing w:val="-2"/>
        </w:rPr>
        <w:t xml:space="preserve"> noted</w:t>
      </w:r>
      <w:r w:rsidRPr="00753538">
        <w:rPr>
          <w:spacing w:val="-4"/>
        </w:rPr>
        <w:t xml:space="preserve"> </w:t>
      </w:r>
      <w:r w:rsidRPr="00D060B4">
        <w:t>in the</w:t>
      </w:r>
      <w:r w:rsidRPr="00753538">
        <w:rPr>
          <w:spacing w:val="-3"/>
        </w:rPr>
        <w:t xml:space="preserve"> </w:t>
      </w:r>
      <w:r w:rsidRPr="00D060B4">
        <w:t>contractual</w:t>
      </w:r>
      <w:r w:rsidRPr="00753538">
        <w:rPr>
          <w:spacing w:val="-3"/>
        </w:rPr>
        <w:t xml:space="preserve"> </w:t>
      </w:r>
      <w:r w:rsidRPr="00D060B4">
        <w:t>agreement.</w:t>
      </w:r>
      <w:r w:rsidRPr="00753538">
        <w:rPr>
          <w:spacing w:val="-4"/>
        </w:rPr>
        <w:t xml:space="preserve">  </w:t>
      </w:r>
      <w:r w:rsidRPr="00D060B4">
        <w:t>NPS</w:t>
      </w:r>
      <w:r w:rsidRPr="00753538">
        <w:rPr>
          <w:spacing w:val="-3"/>
        </w:rPr>
        <w:t xml:space="preserve"> </w:t>
      </w:r>
      <w:r w:rsidRPr="00D060B4">
        <w:t>monitoring</w:t>
      </w:r>
      <w:r w:rsidRPr="00753538">
        <w:rPr>
          <w:spacing w:val="-3"/>
        </w:rPr>
        <w:t xml:space="preserve"> </w:t>
      </w:r>
      <w:r w:rsidRPr="00D060B4">
        <w:t>staff</w:t>
      </w:r>
      <w:r w:rsidRPr="00753538">
        <w:rPr>
          <w:spacing w:val="-4"/>
        </w:rPr>
        <w:t xml:space="preserve"> </w:t>
      </w:r>
      <w:r w:rsidRPr="00D060B4">
        <w:t>cannot authorize</w:t>
      </w:r>
      <w:r w:rsidRPr="00753538">
        <w:rPr>
          <w:spacing w:val="-5"/>
        </w:rPr>
        <w:t xml:space="preserve"> </w:t>
      </w:r>
      <w:r w:rsidRPr="00D060B4">
        <w:t>extra</w:t>
      </w:r>
      <w:r w:rsidRPr="00753538">
        <w:rPr>
          <w:spacing w:val="-3"/>
        </w:rPr>
        <w:t xml:space="preserve"> </w:t>
      </w:r>
      <w:r w:rsidRPr="00D060B4">
        <w:t>hours</w:t>
      </w:r>
      <w:r w:rsidRPr="00753538">
        <w:rPr>
          <w:spacing w:val="-1"/>
        </w:rPr>
        <w:t xml:space="preserve"> </w:t>
      </w:r>
      <w:r w:rsidRPr="00D060B4">
        <w:t>or</w:t>
      </w:r>
      <w:r w:rsidRPr="00753538">
        <w:rPr>
          <w:spacing w:val="-2"/>
        </w:rPr>
        <w:t xml:space="preserve"> </w:t>
      </w:r>
      <w:r w:rsidRPr="00D060B4">
        <w:t xml:space="preserve">deviate from the contractual agreement without a </w:t>
      </w:r>
      <w:r>
        <w:t>written</w:t>
      </w:r>
      <w:r w:rsidRPr="00D060B4">
        <w:t xml:space="preserve"> amendment by the COR</w:t>
      </w:r>
      <w:r w:rsidRPr="00D73B2F">
        <w:t xml:space="preserve">.  </w:t>
      </w:r>
      <w:bookmarkStart w:id="5" w:name="_Hlk155780313"/>
      <w:bookmarkStart w:id="6" w:name="_Hlk155780296"/>
      <w:r w:rsidRPr="00D060B4">
        <w:t>Advanced arrangement must be made to access additional areas</w:t>
      </w:r>
      <w:bookmarkEnd w:id="5"/>
      <w:r w:rsidRPr="00D060B4">
        <w:t>.</w:t>
      </w:r>
      <w:r>
        <w:t xml:space="preserve">  </w:t>
      </w:r>
      <w:bookmarkEnd w:id="6"/>
      <w:r w:rsidRPr="00D73B2F">
        <w:t>Subcontracting is not permitted unless otherwise specified in the contractual agreement or authorized in writing by the COR</w:t>
      </w:r>
      <w:r w:rsidRPr="00D060B4" w:rsidDel="00D77C78">
        <w:t>.</w:t>
      </w:r>
    </w:p>
    <w:p w14:paraId="09351A15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>Breaks</w:t>
      </w:r>
      <w:r w:rsidRPr="00D060B4">
        <w:rPr>
          <w:spacing w:val="-2"/>
        </w:rPr>
        <w:t xml:space="preserve"> are to be taken at [</w:t>
      </w:r>
      <w:r w:rsidRPr="00F44918">
        <w:rPr>
          <w:i/>
          <w:color w:val="0070C0"/>
        </w:rPr>
        <w:t>break</w:t>
      </w:r>
      <w:r>
        <w:rPr>
          <w:i/>
          <w:color w:val="0070C0"/>
        </w:rPr>
        <w:t>room</w:t>
      </w:r>
      <w:r w:rsidRPr="00F44918">
        <w:rPr>
          <w:i/>
          <w:color w:val="0070C0"/>
        </w:rPr>
        <w:t xml:space="preserve"> location</w:t>
      </w:r>
      <w:r w:rsidRPr="00D060B4">
        <w:rPr>
          <w:spacing w:val="-2"/>
        </w:rPr>
        <w:t>] as identified during the orientation meeting.  Exterior doors shall remain locked</w:t>
      </w:r>
      <w:r>
        <w:rPr>
          <w:spacing w:val="-2"/>
        </w:rPr>
        <w:t xml:space="preserve"> to prevent unauthorized reentry</w:t>
      </w:r>
      <w:r w:rsidRPr="00D060B4">
        <w:rPr>
          <w:spacing w:val="-2"/>
        </w:rPr>
        <w:t xml:space="preserve">.  </w:t>
      </w:r>
      <w:r>
        <w:rPr>
          <w:spacing w:val="-2"/>
        </w:rPr>
        <w:t>Designated</w:t>
      </w:r>
      <w:r w:rsidRPr="00D060B4">
        <w:rPr>
          <w:spacing w:val="-2"/>
        </w:rPr>
        <w:t xml:space="preserve"> NPS staff will accompany contractors</w:t>
      </w:r>
      <w:r>
        <w:rPr>
          <w:spacing w:val="-2"/>
        </w:rPr>
        <w:t xml:space="preserve"> </w:t>
      </w:r>
      <w:r w:rsidRPr="00D060B4">
        <w:t>back to the work location</w:t>
      </w:r>
      <w:r>
        <w:t xml:space="preserve"> at [</w:t>
      </w:r>
      <w:r w:rsidRPr="000B6BB5">
        <w:rPr>
          <w:i/>
          <w:color w:val="0070C0"/>
        </w:rPr>
        <w:t>time and place</w:t>
      </w:r>
      <w:r>
        <w:t xml:space="preserve">] </w:t>
      </w:r>
      <w:r w:rsidRPr="00D060B4">
        <w:rPr>
          <w:spacing w:val="-2"/>
        </w:rPr>
        <w:t>at the conclusion of each break.</w:t>
      </w:r>
    </w:p>
    <w:p w14:paraId="5536499B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>Contractors are not permitted to touch,</w:t>
      </w:r>
      <w:r w:rsidRPr="004C4013">
        <w:rPr>
          <w:spacing w:val="-4"/>
        </w:rPr>
        <w:t xml:space="preserve"> </w:t>
      </w:r>
      <w:r w:rsidRPr="00D060B4">
        <w:t>handle, move, or use</w:t>
      </w:r>
      <w:r w:rsidRPr="004C4013">
        <w:rPr>
          <w:spacing w:val="-3"/>
        </w:rPr>
        <w:t xml:space="preserve"> any museum </w:t>
      </w:r>
      <w:r w:rsidRPr="00D060B4">
        <w:t>objects</w:t>
      </w:r>
      <w:r>
        <w:t xml:space="preserve"> </w:t>
      </w:r>
      <w:r w:rsidRPr="00D060B4">
        <w:t xml:space="preserve">on exhibit or in storage, </w:t>
      </w:r>
      <w:r>
        <w:t xml:space="preserve">including </w:t>
      </w:r>
      <w:r w:rsidRPr="00D060B4">
        <w:t xml:space="preserve">historic sinks and bathrooms, etc.  </w:t>
      </w:r>
      <w:r>
        <w:t xml:space="preserve">Designated NPS staff will coordinate with the park curator in advance to move, protect, and/or cover collections.  </w:t>
      </w:r>
      <w:r w:rsidRPr="00D060B4">
        <w:t>Contractor tools, equipment, and personal items must never be stored or placed on or in museum objects.</w:t>
      </w:r>
      <w:r>
        <w:t xml:space="preserve">  Conservators will conduct work on objects specified in the contract.</w:t>
      </w:r>
    </w:p>
    <w:p w14:paraId="1EB29F12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>Contractor must not make any</w:t>
      </w:r>
      <w:r w:rsidRPr="00D060B4">
        <w:rPr>
          <w:spacing w:val="-2"/>
        </w:rPr>
        <w:t xml:space="preserve"> </w:t>
      </w:r>
      <w:r w:rsidRPr="00D060B4">
        <w:t>alteration</w:t>
      </w:r>
      <w:r w:rsidRPr="00D060B4">
        <w:rPr>
          <w:spacing w:val="-2"/>
        </w:rPr>
        <w:t xml:space="preserve"> </w:t>
      </w:r>
      <w:r w:rsidRPr="00D060B4">
        <w:t>to</w:t>
      </w:r>
      <w:r w:rsidRPr="00D060B4">
        <w:rPr>
          <w:spacing w:val="-2"/>
        </w:rPr>
        <w:t xml:space="preserve"> </w:t>
      </w:r>
      <w:r w:rsidRPr="00D060B4">
        <w:t>a</w:t>
      </w:r>
      <w:r w:rsidRPr="00D060B4">
        <w:rPr>
          <w:spacing w:val="-4"/>
        </w:rPr>
        <w:t xml:space="preserve"> </w:t>
      </w:r>
      <w:r w:rsidRPr="00D060B4">
        <w:t>historic</w:t>
      </w:r>
      <w:r w:rsidRPr="00D060B4">
        <w:rPr>
          <w:spacing w:val="-1"/>
        </w:rPr>
        <w:t xml:space="preserve"> </w:t>
      </w:r>
      <w:r w:rsidRPr="00D060B4">
        <w:t>structure</w:t>
      </w:r>
      <w:r w:rsidRPr="00D060B4">
        <w:rPr>
          <w:spacing w:val="-4"/>
        </w:rPr>
        <w:t xml:space="preserve"> </w:t>
      </w:r>
      <w:r w:rsidRPr="00D060B4">
        <w:t>such</w:t>
      </w:r>
      <w:r w:rsidRPr="00D060B4">
        <w:rPr>
          <w:spacing w:val="-4"/>
        </w:rPr>
        <w:t xml:space="preserve"> </w:t>
      </w:r>
      <w:r w:rsidRPr="00D060B4">
        <w:t>as</w:t>
      </w:r>
      <w:r w:rsidRPr="00D060B4">
        <w:rPr>
          <w:spacing w:val="-2"/>
        </w:rPr>
        <w:t xml:space="preserve"> </w:t>
      </w:r>
      <w:r w:rsidRPr="00D060B4">
        <w:t>a</w:t>
      </w:r>
      <w:r w:rsidRPr="00D060B4">
        <w:rPr>
          <w:spacing w:val="-4"/>
        </w:rPr>
        <w:t xml:space="preserve"> </w:t>
      </w:r>
      <w:r w:rsidRPr="00D060B4">
        <w:t>hole,</w:t>
      </w:r>
      <w:r w:rsidRPr="00D060B4">
        <w:rPr>
          <w:spacing w:val="-1"/>
        </w:rPr>
        <w:t xml:space="preserve"> </w:t>
      </w:r>
      <w:r w:rsidRPr="00D060B4">
        <w:t>insertion</w:t>
      </w:r>
      <w:r w:rsidRPr="00D060B4">
        <w:rPr>
          <w:spacing w:val="-2"/>
        </w:rPr>
        <w:t xml:space="preserve"> </w:t>
      </w:r>
      <w:r w:rsidRPr="00D060B4">
        <w:t>of a</w:t>
      </w:r>
      <w:r w:rsidRPr="00D060B4">
        <w:rPr>
          <w:spacing w:val="-4"/>
        </w:rPr>
        <w:t xml:space="preserve"> </w:t>
      </w:r>
      <w:r w:rsidRPr="00D060B4">
        <w:t>nail</w:t>
      </w:r>
      <w:r w:rsidRPr="00D060B4">
        <w:rPr>
          <w:spacing w:val="-2"/>
        </w:rPr>
        <w:t xml:space="preserve"> </w:t>
      </w:r>
      <w:r w:rsidRPr="00D060B4">
        <w:t>or</w:t>
      </w:r>
      <w:r w:rsidRPr="00D060B4">
        <w:rPr>
          <w:spacing w:val="-3"/>
        </w:rPr>
        <w:t xml:space="preserve"> </w:t>
      </w:r>
      <w:r w:rsidRPr="00D060B4">
        <w:t>bracket,</w:t>
      </w:r>
      <w:r w:rsidRPr="00D060B4">
        <w:rPr>
          <w:spacing w:val="-3"/>
        </w:rPr>
        <w:t xml:space="preserve"> </w:t>
      </w:r>
      <w:r w:rsidRPr="00D060B4">
        <w:t>alteration of a trim or surface, etc. without prior written approval from the COR and NPS historical architect advisor</w:t>
      </w:r>
      <w:r>
        <w:t xml:space="preserve"> and Section 106 compliance officer</w:t>
      </w:r>
      <w:r w:rsidRPr="00D060B4">
        <w:t xml:space="preserve"> to ensure compliance with the National Historic Preservation Act.</w:t>
      </w:r>
    </w:p>
    <w:p w14:paraId="458D2E43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>
        <w:t>Contractor will i</w:t>
      </w:r>
      <w:r w:rsidRPr="00D060B4">
        <w:t xml:space="preserve">nstall </w:t>
      </w:r>
      <w:r>
        <w:t xml:space="preserve">protective fire-resistive </w:t>
      </w:r>
      <w:r w:rsidRPr="000B6BB5">
        <w:t>plastic sheets, tarps, drop cloths, etc</w:t>
      </w:r>
      <w:r>
        <w:t>.</w:t>
      </w:r>
      <w:r w:rsidRPr="00D060B4" w:rsidDel="00411D1F">
        <w:t xml:space="preserve"> </w:t>
      </w:r>
      <w:r>
        <w:t>to protect</w:t>
      </w:r>
      <w:r w:rsidRPr="00D060B4">
        <w:rPr>
          <w:spacing w:val="-3"/>
        </w:rPr>
        <w:t xml:space="preserve"> </w:t>
      </w:r>
      <w:r w:rsidRPr="00D060B4">
        <w:t>surfaces</w:t>
      </w:r>
      <w:r>
        <w:t xml:space="preserve"> such as cabinets, doorways, and floor surfaces, </w:t>
      </w:r>
      <w:r w:rsidRPr="00D060B4">
        <w:t xml:space="preserve">prevent </w:t>
      </w:r>
      <w:r>
        <w:t>dust</w:t>
      </w:r>
      <w:r w:rsidRPr="00D060B4">
        <w:t xml:space="preserve"> and debris from intruding into non-work areas</w:t>
      </w:r>
      <w:r>
        <w:t>, and ensure clear line of sight for monitoring is maintained</w:t>
      </w:r>
      <w:r w:rsidRPr="00D060B4">
        <w:t xml:space="preserve"> in consultation with the curator.  </w:t>
      </w:r>
      <w:r>
        <w:t>Cover or otherwise</w:t>
      </w:r>
      <w:r w:rsidRPr="00D060B4">
        <w:t xml:space="preserve"> protect plaster</w:t>
      </w:r>
      <w:r>
        <w:t xml:space="preserve"> and </w:t>
      </w:r>
      <w:r w:rsidRPr="00D060B4">
        <w:t xml:space="preserve">prevent </w:t>
      </w:r>
      <w:r>
        <w:t>dust</w:t>
      </w:r>
      <w:r w:rsidRPr="00D060B4">
        <w:t xml:space="preserve"> and debris from intruding into non-work areas.  </w:t>
      </w:r>
      <w:r>
        <w:t>Contractor will provide c</w:t>
      </w:r>
      <w:r w:rsidRPr="00D060B4">
        <w:t>lean blankets, covers,</w:t>
      </w:r>
      <w:r w:rsidRPr="00D060B4">
        <w:rPr>
          <w:spacing w:val="-1"/>
        </w:rPr>
        <w:t xml:space="preserve"> </w:t>
      </w:r>
      <w:r w:rsidRPr="00D060B4">
        <w:t xml:space="preserve">and/or </w:t>
      </w:r>
      <w:r>
        <w:t>tarps</w:t>
      </w:r>
      <w:r w:rsidRPr="00D060B4">
        <w:t xml:space="preserve"> to protect museum objects that cannot be moved (such as heavy objects) and/or historic interior(s) from scratching, dents, spills</w:t>
      </w:r>
      <w:r>
        <w:t>,</w:t>
      </w:r>
      <w:r w:rsidRPr="00D060B4">
        <w:t xml:space="preserve"> etc</w:t>
      </w:r>
      <w:r>
        <w:t>.</w:t>
      </w:r>
      <w:r w:rsidRPr="00D060B4">
        <w:t xml:space="preserve">  </w:t>
      </w:r>
      <w:r>
        <w:t>W</w:t>
      </w:r>
      <w:r w:rsidRPr="00D060B4">
        <w:t xml:space="preserve">ork equipment </w:t>
      </w:r>
      <w:r>
        <w:t>must be set up and stored separately from</w:t>
      </w:r>
      <w:r w:rsidRPr="00D060B4">
        <w:t xml:space="preserve"> museum objects</w:t>
      </w:r>
      <w:r>
        <w:t xml:space="preserve"> that cannot be moved</w:t>
      </w:r>
      <w:r w:rsidRPr="00D060B4">
        <w:t xml:space="preserve">.  </w:t>
      </w:r>
      <w:r>
        <w:t>Contractor will c</w:t>
      </w:r>
      <w:r w:rsidRPr="00D060B4">
        <w:t xml:space="preserve">onsult with </w:t>
      </w:r>
      <w:r>
        <w:t>designated</w:t>
      </w:r>
      <w:r w:rsidRPr="00D060B4">
        <w:t xml:space="preserve"> NPS staff, curator, and project manager to determine if additional protective measures are needed.</w:t>
      </w:r>
    </w:p>
    <w:p w14:paraId="54348712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>
        <w:t>Contractor will k</w:t>
      </w:r>
      <w:r w:rsidRPr="00D060B4">
        <w:t>eep work site clean, remove debris, and monitor for dust, dirt, or other debris adjacent to the work area</w:t>
      </w:r>
      <w:r>
        <w:t xml:space="preserve"> each day</w:t>
      </w:r>
      <w:r w:rsidRPr="00D060B4">
        <w:t>.  Consult with the project manager, and [</w:t>
      </w:r>
      <w:r w:rsidRPr="00F44918">
        <w:rPr>
          <w:i/>
          <w:color w:val="0070C0"/>
        </w:rPr>
        <w:t>Point of Contact</w:t>
      </w:r>
      <w:r w:rsidRPr="00D060B4">
        <w:t>] to determine additional protective measures.</w:t>
      </w:r>
    </w:p>
    <w:p w14:paraId="7E2EA95B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>Contractor will use designated entry/exit points as determined during the orientation meeting.</w:t>
      </w:r>
      <w:r>
        <w:t xml:space="preserve">  Contractor will</w:t>
      </w:r>
      <w:r w:rsidRPr="008603BE">
        <w:rPr>
          <w:spacing w:val="-3"/>
        </w:rPr>
        <w:t xml:space="preserve"> </w:t>
      </w:r>
      <w:r w:rsidRPr="00D060B4">
        <w:t>not</w:t>
      </w:r>
      <w:r w:rsidRPr="008603BE">
        <w:rPr>
          <w:spacing w:val="-2"/>
        </w:rPr>
        <w:t xml:space="preserve"> </w:t>
      </w:r>
      <w:r w:rsidRPr="00D060B4">
        <w:t>block</w:t>
      </w:r>
      <w:r w:rsidRPr="008603BE">
        <w:rPr>
          <w:spacing w:val="-5"/>
        </w:rPr>
        <w:t xml:space="preserve"> </w:t>
      </w:r>
      <w:r w:rsidRPr="00D060B4">
        <w:t>doorways</w:t>
      </w:r>
      <w:r w:rsidRPr="008603BE">
        <w:rPr>
          <w:spacing w:val="-2"/>
        </w:rPr>
        <w:t xml:space="preserve"> </w:t>
      </w:r>
      <w:r w:rsidRPr="00D060B4">
        <w:t>or</w:t>
      </w:r>
      <w:r w:rsidRPr="008603BE">
        <w:rPr>
          <w:spacing w:val="-2"/>
        </w:rPr>
        <w:t xml:space="preserve"> </w:t>
      </w:r>
      <w:r w:rsidRPr="00D060B4">
        <w:t>emergency</w:t>
      </w:r>
      <w:r w:rsidRPr="008603BE">
        <w:rPr>
          <w:spacing w:val="-2"/>
        </w:rPr>
        <w:t xml:space="preserve"> </w:t>
      </w:r>
      <w:r w:rsidRPr="00D060B4">
        <w:t>exits</w:t>
      </w:r>
      <w:r w:rsidRPr="008603BE">
        <w:rPr>
          <w:spacing w:val="-2"/>
        </w:rPr>
        <w:t xml:space="preserve"> </w:t>
      </w:r>
      <w:r w:rsidRPr="00D060B4">
        <w:t>with</w:t>
      </w:r>
      <w:r w:rsidRPr="008603BE">
        <w:rPr>
          <w:spacing w:val="-5"/>
        </w:rPr>
        <w:t xml:space="preserve"> </w:t>
      </w:r>
      <w:r w:rsidRPr="00D060B4">
        <w:t>equipment</w:t>
      </w:r>
      <w:r w:rsidRPr="008603BE">
        <w:rPr>
          <w:spacing w:val="-2"/>
        </w:rPr>
        <w:t xml:space="preserve"> </w:t>
      </w:r>
      <w:r w:rsidRPr="00D060B4">
        <w:t>or</w:t>
      </w:r>
      <w:r w:rsidRPr="008603BE">
        <w:rPr>
          <w:spacing w:val="-4"/>
        </w:rPr>
        <w:t xml:space="preserve"> </w:t>
      </w:r>
      <w:r w:rsidRPr="00D060B4">
        <w:t>supplies.  Exterior doors are not to be propped open.</w:t>
      </w:r>
    </w:p>
    <w:p w14:paraId="5F2416DF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 w:rsidRPr="00D060B4">
        <w:t xml:space="preserve">Contractors must follow park procedures for hot work and open flames, conducting a fire watch, use of chemicals and other flammable materials, fire protection and security systems, and others as described in Section </w:t>
      </w:r>
      <w:r>
        <w:t>III</w:t>
      </w:r>
      <w:r w:rsidRPr="00D060B4">
        <w:t xml:space="preserve"> below.</w:t>
      </w:r>
    </w:p>
    <w:p w14:paraId="068E4AF2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00"/>
        <w:ind w:left="806" w:right="1138"/>
      </w:pPr>
      <w:r>
        <w:t>Contractor must make a</w:t>
      </w:r>
      <w:r w:rsidRPr="00D060B4">
        <w:t>dvance arrangements</w:t>
      </w:r>
      <w:r w:rsidRPr="00D060B4">
        <w:rPr>
          <w:spacing w:val="-5"/>
        </w:rPr>
        <w:t xml:space="preserve"> </w:t>
      </w:r>
      <w:r w:rsidRPr="00D060B4">
        <w:t xml:space="preserve">to use electrical equipment.  </w:t>
      </w:r>
      <w:r>
        <w:t>E</w:t>
      </w:r>
      <w:r w:rsidRPr="00D060B4">
        <w:t xml:space="preserve">quipment must be in satisfactory </w:t>
      </w:r>
      <w:r>
        <w:t>condition</w:t>
      </w:r>
      <w:r w:rsidRPr="00D060B4">
        <w:t xml:space="preserve">; frayed or damaged cords are not permitted.  </w:t>
      </w:r>
      <w:r>
        <w:t>C</w:t>
      </w:r>
      <w:r w:rsidRPr="00D060B4">
        <w:t xml:space="preserve">onstruction lights or equipment </w:t>
      </w:r>
      <w:r>
        <w:t>must be turned off</w:t>
      </w:r>
      <w:r w:rsidRPr="00D060B4">
        <w:t xml:space="preserve"> or </w:t>
      </w:r>
      <w:r>
        <w:t>un</w:t>
      </w:r>
      <w:r w:rsidRPr="00D060B4">
        <w:t>plugged while unattended</w:t>
      </w:r>
      <w:r>
        <w:t xml:space="preserve"> or not use</w:t>
      </w:r>
      <w:r w:rsidRPr="00D060B4">
        <w:t>.</w:t>
      </w:r>
    </w:p>
    <w:p w14:paraId="1BDDE8E7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ind w:left="806" w:right="1037"/>
      </w:pPr>
      <w:r>
        <w:t>Contractor must follow park emergency response procedures</w:t>
      </w:r>
      <w:r w:rsidRPr="00D060B4">
        <w:t xml:space="preserve"> and </w:t>
      </w:r>
      <w:r>
        <w:t xml:space="preserve">note </w:t>
      </w:r>
      <w:r w:rsidRPr="00D060B4">
        <w:t xml:space="preserve">portable fire extinguisher locations.  In the </w:t>
      </w:r>
      <w:r>
        <w:t>event</w:t>
      </w:r>
      <w:r w:rsidRPr="00D060B4">
        <w:t xml:space="preserve"> of emergency or alarm, evacuate the area, call 911</w:t>
      </w:r>
      <w:r>
        <w:t xml:space="preserve"> </w:t>
      </w:r>
      <w:r w:rsidRPr="00D060B4">
        <w:t>and [</w:t>
      </w:r>
      <w:r w:rsidRPr="00F44918">
        <w:rPr>
          <w:i/>
          <w:color w:val="0070C0"/>
        </w:rPr>
        <w:t>Ranger on duty</w:t>
      </w:r>
      <w:r w:rsidRPr="00D060B4">
        <w:t xml:space="preserve">], and follow NPS staff directions.  Contractor </w:t>
      </w:r>
      <w:r>
        <w:t>must</w:t>
      </w:r>
      <w:r w:rsidRPr="00D060B4">
        <w:t xml:space="preserve"> contact direct supervisor </w:t>
      </w:r>
      <w:r>
        <w:t xml:space="preserve">and NPS staff </w:t>
      </w:r>
      <w:r w:rsidRPr="00D060B4">
        <w:t>in the event of injury</w:t>
      </w:r>
      <w:r w:rsidRPr="004B1E35">
        <w:t xml:space="preserve"> </w:t>
      </w:r>
      <w:r w:rsidRPr="00D060B4">
        <w:t>or safety issues that arise during the workday.</w:t>
      </w:r>
    </w:p>
    <w:p w14:paraId="2B3CA83B" w14:textId="43D2FB57" w:rsidR="00A56676" w:rsidRDefault="00A56676" w:rsidP="00A56676">
      <w:pPr>
        <w:pStyle w:val="ListParagraph"/>
        <w:spacing w:before="120"/>
        <w:ind w:left="806" w:right="994"/>
        <w:jc w:val="center"/>
        <w:rPr>
          <w:b/>
          <w:bCs/>
        </w:rPr>
      </w:pPr>
      <w:r w:rsidRPr="00E14297">
        <w:rPr>
          <w:b/>
          <w:bCs/>
        </w:rPr>
        <w:t>Figure 14.4. Standard Operating Procedures:</w:t>
      </w:r>
      <w:r w:rsidRPr="00E14297">
        <w:rPr>
          <w:b/>
          <w:bCs/>
        </w:rPr>
        <w:br/>
        <w:t>Contractors Working with Museum Collections and in Structures Housing Collections</w:t>
      </w:r>
      <w:r>
        <w:rPr>
          <w:b/>
          <w:bCs/>
        </w:rPr>
        <w:t xml:space="preserve"> (Sample)</w:t>
      </w:r>
      <w:r w:rsidRPr="00E14297">
        <w:rPr>
          <w:b/>
          <w:bCs/>
        </w:rPr>
        <w:t xml:space="preserve"> (continued)</w:t>
      </w:r>
    </w:p>
    <w:p w14:paraId="100103C3" w14:textId="77777777" w:rsidR="00A56676" w:rsidRDefault="00A56676">
      <w:pPr>
        <w:widowControl/>
        <w:spacing w:after="160" w:line="259" w:lineRule="auto"/>
        <w:rPr>
          <w:rFonts w:ascii="Times New Roman" w:hAnsi="Times New Roman"/>
          <w:b/>
          <w:bCs/>
        </w:rPr>
      </w:pPr>
      <w:r>
        <w:rPr>
          <w:b/>
          <w:bCs/>
        </w:rPr>
        <w:br w:type="page"/>
      </w:r>
    </w:p>
    <w:p w14:paraId="6B9EBD59" w14:textId="77777777" w:rsidR="00A56676" w:rsidRPr="00E14297" w:rsidRDefault="00A56676" w:rsidP="00A56676">
      <w:pPr>
        <w:pStyle w:val="ListParagraph"/>
        <w:spacing w:before="120"/>
        <w:ind w:left="806" w:right="994"/>
        <w:jc w:val="center"/>
      </w:pPr>
    </w:p>
    <w:p w14:paraId="510EAFC2" w14:textId="77777777" w:rsidR="00A56676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20"/>
        <w:ind w:left="810" w:right="1138"/>
      </w:pPr>
      <w:r w:rsidRPr="00D060B4">
        <w:t>Contractor must physically perform all project tasks including clean-up</w:t>
      </w:r>
      <w:r>
        <w:t>,</w:t>
      </w:r>
      <w:r w:rsidRPr="00D060B4">
        <w:t xml:space="preserve"> </w:t>
      </w:r>
      <w:proofErr w:type="gramStart"/>
      <w:r w:rsidRPr="00D060B4">
        <w:t>loading</w:t>
      </w:r>
      <w:proofErr w:type="gramEnd"/>
      <w:r w:rsidRPr="00D060B4">
        <w:t xml:space="preserve"> or unload</w:t>
      </w:r>
      <w:r>
        <w:t>ing</w:t>
      </w:r>
      <w:r w:rsidRPr="00D060B4">
        <w:t xml:space="preserve"> contractor tools, supplies, or equipment</w:t>
      </w:r>
      <w:r>
        <w:t>,</w:t>
      </w:r>
      <w:r w:rsidRPr="00D060B4">
        <w:t xml:space="preserve"> or other errands.</w:t>
      </w:r>
      <w:r>
        <w:t xml:space="preserve">  Only the </w:t>
      </w:r>
      <w:r w:rsidRPr="00D060B4">
        <w:t>COR [</w:t>
      </w:r>
      <w:r w:rsidRPr="00F324BA">
        <w:rPr>
          <w:i/>
          <w:color w:val="0070C0"/>
        </w:rPr>
        <w:t xml:space="preserve">name </w:t>
      </w:r>
      <w:r>
        <w:rPr>
          <w:i/>
          <w:color w:val="0070C0"/>
        </w:rPr>
        <w:t>&amp;</w:t>
      </w:r>
      <w:r w:rsidRPr="00F324BA">
        <w:rPr>
          <w:i/>
          <w:color w:val="0070C0"/>
        </w:rPr>
        <w:t xml:space="preserve"> title</w:t>
      </w:r>
      <w:r w:rsidRPr="00D060B4">
        <w:t>] and project manager [</w:t>
      </w:r>
      <w:r w:rsidRPr="00F324BA">
        <w:rPr>
          <w:i/>
          <w:color w:val="0070C0"/>
        </w:rPr>
        <w:t xml:space="preserve">name </w:t>
      </w:r>
      <w:r>
        <w:rPr>
          <w:i/>
          <w:color w:val="0070C0"/>
        </w:rPr>
        <w:t>&amp;</w:t>
      </w:r>
      <w:r w:rsidRPr="00F324BA">
        <w:rPr>
          <w:i/>
          <w:color w:val="0070C0"/>
        </w:rPr>
        <w:t xml:space="preserve"> title</w:t>
      </w:r>
      <w:r w:rsidRPr="00D060B4">
        <w:t xml:space="preserve">] as assigned in writing, shall direct </w:t>
      </w:r>
      <w:proofErr w:type="gramStart"/>
      <w:r w:rsidRPr="00D060B4">
        <w:t>contractual</w:t>
      </w:r>
      <w:proofErr w:type="gramEnd"/>
      <w:r w:rsidRPr="00D060B4">
        <w:t xml:space="preserve"> work</w:t>
      </w:r>
      <w:r>
        <w:t>.  Designated NPS monitoring staff cannot direct contractual work.</w:t>
      </w:r>
    </w:p>
    <w:p w14:paraId="3B797487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20"/>
        <w:ind w:left="810" w:right="1138"/>
      </w:pPr>
      <w:r w:rsidRPr="00D060B4">
        <w:t>Contractors</w:t>
      </w:r>
      <w:r w:rsidRPr="00F324BA">
        <w:rPr>
          <w:spacing w:val="-2"/>
        </w:rPr>
        <w:t xml:space="preserve"> </w:t>
      </w:r>
      <w:r w:rsidRPr="00D060B4">
        <w:t>are</w:t>
      </w:r>
      <w:r w:rsidRPr="00F324BA">
        <w:rPr>
          <w:spacing w:val="-5"/>
        </w:rPr>
        <w:t xml:space="preserve"> </w:t>
      </w:r>
      <w:r w:rsidRPr="00D060B4">
        <w:t>responsible</w:t>
      </w:r>
      <w:r w:rsidRPr="00F324BA">
        <w:rPr>
          <w:spacing w:val="-2"/>
        </w:rPr>
        <w:t xml:space="preserve"> </w:t>
      </w:r>
      <w:r w:rsidRPr="00D060B4">
        <w:t>for providing</w:t>
      </w:r>
      <w:r w:rsidRPr="00F324BA">
        <w:rPr>
          <w:spacing w:val="-3"/>
        </w:rPr>
        <w:t xml:space="preserve"> </w:t>
      </w:r>
      <w:r w:rsidRPr="00D060B4">
        <w:t>and</w:t>
      </w:r>
      <w:r w:rsidRPr="00F324BA">
        <w:rPr>
          <w:spacing w:val="-5"/>
        </w:rPr>
        <w:t xml:space="preserve"> </w:t>
      </w:r>
      <w:r w:rsidRPr="00D060B4">
        <w:t>maintaining</w:t>
      </w:r>
      <w:r w:rsidRPr="00F324BA">
        <w:rPr>
          <w:spacing w:val="-2"/>
        </w:rPr>
        <w:t xml:space="preserve"> </w:t>
      </w:r>
      <w:r w:rsidRPr="00D060B4">
        <w:t>their</w:t>
      </w:r>
      <w:r w:rsidRPr="00F324BA">
        <w:rPr>
          <w:spacing w:val="-4"/>
        </w:rPr>
        <w:t xml:space="preserve"> </w:t>
      </w:r>
      <w:r w:rsidRPr="00D060B4">
        <w:t>own</w:t>
      </w:r>
      <w:r w:rsidRPr="00F324BA">
        <w:rPr>
          <w:spacing w:val="-3"/>
        </w:rPr>
        <w:t xml:space="preserve"> </w:t>
      </w:r>
      <w:r w:rsidRPr="00D060B4">
        <w:t>supplies</w:t>
      </w:r>
      <w:r w:rsidRPr="00F324BA">
        <w:rPr>
          <w:spacing w:val="-3"/>
        </w:rPr>
        <w:t xml:space="preserve"> </w:t>
      </w:r>
      <w:r w:rsidRPr="00D060B4">
        <w:t>and</w:t>
      </w:r>
      <w:r w:rsidRPr="00F324BA">
        <w:rPr>
          <w:spacing w:val="-7"/>
        </w:rPr>
        <w:t xml:space="preserve"> </w:t>
      </w:r>
      <w:r w:rsidRPr="00D060B4">
        <w:t>equipment.</w:t>
      </w:r>
      <w:r>
        <w:t xml:space="preserve">  </w:t>
      </w:r>
      <w:r w:rsidRPr="00D060B4">
        <w:t xml:space="preserve">Contractors must </w:t>
      </w:r>
      <w:r>
        <w:t xml:space="preserve">schedule on-site deliveries in advance, </w:t>
      </w:r>
      <w:r w:rsidRPr="00D060B4">
        <w:t>be present and sign for deliveries of requested materials, and are responsible for inspection and transport.</w:t>
      </w:r>
      <w:r>
        <w:t xml:space="preserve">  </w:t>
      </w:r>
      <w:r w:rsidRPr="00D060B4">
        <w:t>Contractor</w:t>
      </w:r>
      <w:r>
        <w:t>s</w:t>
      </w:r>
      <w:r w:rsidRPr="00D060B4">
        <w:t xml:space="preserve"> </w:t>
      </w:r>
      <w:r>
        <w:t>will not</w:t>
      </w:r>
      <w:r w:rsidRPr="00D060B4">
        <w:t xml:space="preserve"> ask NPS staff for </w:t>
      </w:r>
      <w:r>
        <w:t xml:space="preserve">technical </w:t>
      </w:r>
      <w:r w:rsidRPr="00D060B4">
        <w:t>assistance.</w:t>
      </w:r>
      <w:r>
        <w:t xml:space="preserve">  </w:t>
      </w:r>
      <w:r w:rsidRPr="004B1E35">
        <w:t>NPS staff are not responsible for contracted deliveries and are not permitted to sign for any supplies or equipment, or provide NPS-owned tools, supplies, or equipment for contractor use</w:t>
      </w:r>
      <w:r>
        <w:t>.</w:t>
      </w:r>
    </w:p>
    <w:p w14:paraId="3D782AB9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spacing w:after="120"/>
        <w:ind w:left="810" w:right="1138"/>
      </w:pPr>
      <w:r w:rsidRPr="00D060B4">
        <w:t>C</w:t>
      </w:r>
      <w:r>
        <w:t>ontractor will begin c</w:t>
      </w:r>
      <w:r w:rsidRPr="00D060B4">
        <w:t>lean-up</w:t>
      </w:r>
      <w:r>
        <w:t xml:space="preserve"> </w:t>
      </w:r>
      <w:r w:rsidRPr="00D060B4">
        <w:t>[</w:t>
      </w:r>
      <w:r w:rsidRPr="00F44918">
        <w:rPr>
          <w:i/>
          <w:color w:val="0070C0"/>
        </w:rPr>
        <w:t>30 minutes</w:t>
      </w:r>
      <w:r w:rsidRPr="00D060B4">
        <w:t xml:space="preserve">] before the end of the </w:t>
      </w:r>
      <w:proofErr w:type="gramStart"/>
      <w:r w:rsidRPr="00D060B4">
        <w:t>work day</w:t>
      </w:r>
      <w:proofErr w:type="gramEnd"/>
      <w:r>
        <w:t>, and will n</w:t>
      </w:r>
      <w:r w:rsidRPr="00D060B4">
        <w:t>eatly put away all tools and supplies, including cords, to prevent tripping hazards</w:t>
      </w:r>
      <w:r>
        <w:t>, and r</w:t>
      </w:r>
      <w:r w:rsidRPr="00D060B4">
        <w:t xml:space="preserve">emove </w:t>
      </w:r>
      <w:r>
        <w:t xml:space="preserve">fire-resistive </w:t>
      </w:r>
      <w:r w:rsidRPr="00D060B4">
        <w:t xml:space="preserve">protective barriers and coverings to eliminate fire and egress hazards.  Turn off and unplug all electric tools and extension </w:t>
      </w:r>
      <w:proofErr w:type="gramStart"/>
      <w:r w:rsidRPr="00D060B4">
        <w:t>cords, and</w:t>
      </w:r>
      <w:proofErr w:type="gramEnd"/>
      <w:r w:rsidRPr="00D060B4">
        <w:t xml:space="preserve"> remove heat-generating equipment from the site.  Remove trash to [</w:t>
      </w:r>
      <w:r w:rsidRPr="00F44918">
        <w:rPr>
          <w:i/>
          <w:color w:val="0070C0"/>
        </w:rPr>
        <w:t>predetermined off-site location</w:t>
      </w:r>
      <w:proofErr w:type="gramStart"/>
      <w:r w:rsidRPr="00D060B4">
        <w:t>], unless</w:t>
      </w:r>
      <w:proofErr w:type="gramEnd"/>
      <w:r w:rsidRPr="00D060B4">
        <w:t xml:space="preserve"> other arrangements have been made in the contract.  Conduct a walk-through to ensure walkways are clear and no safety hazards are present.</w:t>
      </w:r>
      <w:r>
        <w:t xml:space="preserve">  Coordinate daily closing procedures with designated NPS monitoring staff.</w:t>
      </w:r>
    </w:p>
    <w:p w14:paraId="460BC037" w14:textId="77777777" w:rsidR="00A56676" w:rsidRPr="00D060B4" w:rsidRDefault="00A56676" w:rsidP="00A56676">
      <w:pPr>
        <w:pStyle w:val="ListParagraph"/>
        <w:numPr>
          <w:ilvl w:val="0"/>
          <w:numId w:val="2"/>
        </w:numPr>
        <w:autoSpaceDE w:val="0"/>
        <w:autoSpaceDN w:val="0"/>
        <w:ind w:left="810" w:right="1138"/>
      </w:pPr>
      <w:r>
        <w:t>Contractor should d</w:t>
      </w:r>
      <w:r w:rsidRPr="00D060B4">
        <w:t xml:space="preserve">irect all questions to the </w:t>
      </w:r>
      <w:r>
        <w:t xml:space="preserve">supervisor, </w:t>
      </w:r>
      <w:r w:rsidRPr="00D060B4">
        <w:t>project manager, [</w:t>
      </w:r>
      <w:r w:rsidRPr="00F44918">
        <w:rPr>
          <w:i/>
          <w:color w:val="0070C0"/>
        </w:rPr>
        <w:t>Point of Contact</w:t>
      </w:r>
      <w:r w:rsidRPr="00D060B4">
        <w:t>] or COR as established.</w:t>
      </w:r>
    </w:p>
    <w:p w14:paraId="4BD9E2FC" w14:textId="77777777" w:rsidR="00A56676" w:rsidRPr="00D060B4" w:rsidRDefault="00A56676" w:rsidP="00A56676">
      <w:pPr>
        <w:pStyle w:val="BodyText"/>
        <w:numPr>
          <w:ilvl w:val="0"/>
          <w:numId w:val="3"/>
        </w:numPr>
        <w:tabs>
          <w:tab w:val="clear" w:pos="-720"/>
        </w:tabs>
        <w:suppressAutoHyphens w:val="0"/>
        <w:autoSpaceDE w:val="0"/>
        <w:autoSpaceDN w:val="0"/>
        <w:spacing w:before="120" w:after="120" w:line="240" w:lineRule="auto"/>
        <w:ind w:left="806" w:right="922" w:hanging="36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Security and Fire </w:t>
      </w:r>
      <w:r w:rsidRPr="00D060B4">
        <w:rPr>
          <w:rFonts w:ascii="Times New Roman" w:hAnsi="Times New Roman"/>
          <w:b/>
          <w:bCs/>
          <w:sz w:val="20"/>
          <w:szCs w:val="20"/>
        </w:rPr>
        <w:t>Safety</w:t>
      </w:r>
    </w:p>
    <w:p w14:paraId="00E5B1B2" w14:textId="77777777" w:rsidR="00A56676" w:rsidRPr="00F37E08" w:rsidRDefault="00A56676" w:rsidP="00A56676">
      <w:pPr>
        <w:pStyle w:val="ListParagraph"/>
        <w:numPr>
          <w:ilvl w:val="0"/>
          <w:numId w:val="1"/>
        </w:numPr>
        <w:autoSpaceDE w:val="0"/>
        <w:autoSpaceDN w:val="0"/>
        <w:spacing w:after="120"/>
        <w:ind w:left="806" w:right="1052"/>
      </w:pPr>
      <w:r w:rsidRPr="00F37E08">
        <w:t xml:space="preserve">Contractors must coordinate hot work </w:t>
      </w:r>
      <w:r>
        <w:t xml:space="preserve">and other </w:t>
      </w:r>
      <w:r w:rsidRPr="00F37E08">
        <w:t>work which may affect fire protection</w:t>
      </w:r>
      <w:r>
        <w:t xml:space="preserve"> and/or security</w:t>
      </w:r>
      <w:r w:rsidRPr="00F37E08">
        <w:t xml:space="preserve"> system functioning with the park structural fire coordinator</w:t>
      </w:r>
      <w:r>
        <w:t xml:space="preserve"> (PSFC)</w:t>
      </w:r>
      <w:r w:rsidRPr="00F37E08">
        <w:t>, safety manager, Physical Security Coordinator, facility manager</w:t>
      </w:r>
      <w:r>
        <w:t>, and Chief of Interpretation as needed</w:t>
      </w:r>
      <w:r w:rsidRPr="00F37E08">
        <w:t xml:space="preserve"> prior to initiating procedures and/or at the end of each </w:t>
      </w:r>
      <w:proofErr w:type="gramStart"/>
      <w:r w:rsidRPr="00F37E08">
        <w:t>work day</w:t>
      </w:r>
      <w:proofErr w:type="gramEnd"/>
      <w:r w:rsidRPr="00F37E08">
        <w:t>.</w:t>
      </w:r>
    </w:p>
    <w:p w14:paraId="06DEAC78" w14:textId="77777777" w:rsidR="00A56676" w:rsidRPr="00D060B4" w:rsidRDefault="00A56676" w:rsidP="00A56676">
      <w:pPr>
        <w:pStyle w:val="ListParagraph"/>
        <w:numPr>
          <w:ilvl w:val="0"/>
          <w:numId w:val="1"/>
        </w:numPr>
        <w:autoSpaceDE w:val="0"/>
        <w:autoSpaceDN w:val="0"/>
        <w:spacing w:after="120"/>
        <w:ind w:left="806" w:right="1369"/>
      </w:pPr>
      <w:bookmarkStart w:id="7" w:name="_Hlk169184033"/>
      <w:bookmarkStart w:id="8" w:name="_Hlk169184660"/>
      <w:r>
        <w:t xml:space="preserve">Contractor must inform the park </w:t>
      </w:r>
      <w:r w:rsidRPr="008A32F5">
        <w:rPr>
          <w:i/>
          <w:iCs/>
        </w:rPr>
        <w:t>in advance</w:t>
      </w:r>
      <w:r>
        <w:t xml:space="preserve"> of intent to conduct</w:t>
      </w:r>
      <w:r w:rsidRPr="00D060B4">
        <w:t xml:space="preserve"> </w:t>
      </w:r>
      <w:r>
        <w:t xml:space="preserve">hot work, including </w:t>
      </w:r>
      <w:r w:rsidRPr="00D060B4">
        <w:t xml:space="preserve">equipment emitting heat or creating a spark </w:t>
      </w:r>
      <w:r>
        <w:t>such as</w:t>
      </w:r>
      <w:r w:rsidRPr="00D060B4">
        <w:t xml:space="preserve"> heat guns, stripping guns, electrical drying tools, heaters, tack irons, welding torches</w:t>
      </w:r>
      <w:r>
        <w:t>, etc.  Contractor must submit signed NPS Hot Work Permit HW-1 for</w:t>
      </w:r>
      <w:r w:rsidRPr="00D060B4">
        <w:t xml:space="preserve"> [</w:t>
      </w:r>
      <w:r w:rsidRPr="00F44918">
        <w:rPr>
          <w:i/>
          <w:color w:val="0070C0"/>
        </w:rPr>
        <w:t>Point of Contact</w:t>
      </w:r>
      <w:r w:rsidRPr="00D060B4">
        <w:t>] approval.</w:t>
      </w:r>
      <w:r>
        <w:t xml:space="preserve">  Use of other open flame is strictly prohibited.</w:t>
      </w:r>
    </w:p>
    <w:p w14:paraId="278B30EB" w14:textId="77777777" w:rsidR="00A56676" w:rsidRPr="00D060B4" w:rsidRDefault="00A56676" w:rsidP="00A56676">
      <w:pPr>
        <w:pStyle w:val="ListParagraph"/>
        <w:numPr>
          <w:ilvl w:val="0"/>
          <w:numId w:val="1"/>
        </w:numPr>
        <w:autoSpaceDE w:val="0"/>
        <w:autoSpaceDN w:val="0"/>
        <w:spacing w:after="120"/>
        <w:ind w:left="806" w:right="1052"/>
      </w:pPr>
      <w:r>
        <w:t>Collaborate with NPS staff and the PSFC prior to dust-producing work that requires p</w:t>
      </w:r>
      <w:r w:rsidRPr="00D060B4">
        <w:t>lac</w:t>
      </w:r>
      <w:r>
        <w:t>ing</w:t>
      </w:r>
      <w:r w:rsidRPr="00D060B4">
        <w:t xml:space="preserve"> </w:t>
      </w:r>
      <w:bookmarkEnd w:id="7"/>
      <w:r w:rsidRPr="00D060B4">
        <w:t>fire alarms in “test” mode</w:t>
      </w:r>
      <w:r>
        <w:t xml:space="preserve"> and/or covering smoke detectors</w:t>
      </w:r>
      <w:r w:rsidRPr="00D060B4">
        <w:t xml:space="preserve">.  NPS monitors </w:t>
      </w:r>
      <w:r>
        <w:t>are</w:t>
      </w:r>
      <w:r w:rsidRPr="00D060B4">
        <w:t xml:space="preserve"> </w:t>
      </w:r>
      <w:r>
        <w:t xml:space="preserve">to </w:t>
      </w:r>
      <w:proofErr w:type="gramStart"/>
      <w:r>
        <w:t xml:space="preserve">remain </w:t>
      </w:r>
      <w:r w:rsidRPr="00D060B4">
        <w:t>on site at all times</w:t>
      </w:r>
      <w:proofErr w:type="gramEnd"/>
      <w:r w:rsidRPr="00D060B4">
        <w:t xml:space="preserve"> for fire watch</w:t>
      </w:r>
      <w:r>
        <w:t xml:space="preserve"> as specified in NSP </w:t>
      </w:r>
      <w:r>
        <w:rPr>
          <w:i/>
          <w:iCs/>
        </w:rPr>
        <w:t>Museum Handbook</w:t>
      </w:r>
      <w:r>
        <w:t xml:space="preserve"> Part I Chapter 9: Museum Fire Protection and NPS Reference Manual 58: Structural Fire Management</w:t>
      </w:r>
      <w:r w:rsidRPr="00D060B4">
        <w:t>.  If contractors are working near sprinkler heads, protect</w:t>
      </w:r>
      <w:r w:rsidRPr="00AF53F6">
        <w:rPr>
          <w:spacing w:val="-4"/>
        </w:rPr>
        <w:t xml:space="preserve"> </w:t>
      </w:r>
      <w:r w:rsidRPr="00D060B4">
        <w:t>the</w:t>
      </w:r>
      <w:r w:rsidRPr="00AF53F6">
        <w:rPr>
          <w:spacing w:val="-5"/>
        </w:rPr>
        <w:t xml:space="preserve"> </w:t>
      </w:r>
      <w:r w:rsidRPr="00D060B4">
        <w:t>unit</w:t>
      </w:r>
      <w:r w:rsidRPr="00AF53F6">
        <w:rPr>
          <w:spacing w:val="-4"/>
        </w:rPr>
        <w:t xml:space="preserve"> </w:t>
      </w:r>
      <w:r w:rsidRPr="00D060B4">
        <w:t>from</w:t>
      </w:r>
      <w:r w:rsidRPr="00AF53F6">
        <w:rPr>
          <w:spacing w:val="-2"/>
        </w:rPr>
        <w:t xml:space="preserve"> </w:t>
      </w:r>
      <w:r w:rsidRPr="00D060B4">
        <w:t xml:space="preserve">damage in consultation with the </w:t>
      </w:r>
      <w:r>
        <w:t>PSFC</w:t>
      </w:r>
      <w:r w:rsidRPr="00D060B4">
        <w:t xml:space="preserve"> and facility manager.</w:t>
      </w:r>
    </w:p>
    <w:bookmarkEnd w:id="8"/>
    <w:p w14:paraId="21E064A1" w14:textId="77777777" w:rsidR="00A56676" w:rsidRPr="00D060B4" w:rsidRDefault="00A56676" w:rsidP="00A56676">
      <w:pPr>
        <w:pStyle w:val="ListParagraph"/>
        <w:numPr>
          <w:ilvl w:val="0"/>
          <w:numId w:val="1"/>
        </w:numPr>
        <w:autoSpaceDE w:val="0"/>
        <w:autoSpaceDN w:val="0"/>
        <w:ind w:left="810" w:right="1369"/>
      </w:pPr>
      <w:r>
        <w:t xml:space="preserve">a. </w:t>
      </w:r>
      <w:r w:rsidRPr="00D060B4">
        <w:t>[</w:t>
      </w:r>
      <w:r w:rsidRPr="00F44918">
        <w:rPr>
          <w:i/>
          <w:color w:val="0070C0"/>
        </w:rPr>
        <w:t xml:space="preserve">Insert </w:t>
      </w:r>
      <w:r>
        <w:rPr>
          <w:i/>
          <w:color w:val="0070C0"/>
        </w:rPr>
        <w:t>requirements for</w:t>
      </w:r>
      <w:r w:rsidRPr="00F44918">
        <w:rPr>
          <w:i/>
          <w:color w:val="0070C0"/>
        </w:rPr>
        <w:t xml:space="preserve"> chemical and other flammable </w:t>
      </w:r>
      <w:r>
        <w:rPr>
          <w:i/>
          <w:color w:val="0070C0"/>
        </w:rPr>
        <w:t xml:space="preserve">and combustible </w:t>
      </w:r>
      <w:r w:rsidRPr="00F44918">
        <w:rPr>
          <w:i/>
          <w:color w:val="0070C0"/>
        </w:rPr>
        <w:t>materials safety procedures, including</w:t>
      </w:r>
      <w:r>
        <w:rPr>
          <w:i/>
          <w:color w:val="0070C0"/>
        </w:rPr>
        <w:t xml:space="preserve"> SDS,</w:t>
      </w:r>
      <w:r w:rsidRPr="00F44918">
        <w:rPr>
          <w:i/>
          <w:color w:val="0070C0"/>
        </w:rPr>
        <w:t xml:space="preserve"> storage</w:t>
      </w:r>
      <w:r>
        <w:rPr>
          <w:i/>
          <w:color w:val="0070C0"/>
        </w:rPr>
        <w:t xml:space="preserve"> in flammable storage cabinets or non-combustible fire canisters,</w:t>
      </w:r>
      <w:r w:rsidRPr="00F44918">
        <w:rPr>
          <w:i/>
          <w:color w:val="0070C0"/>
        </w:rPr>
        <w:t xml:space="preserve"> and clean-up procedure</w:t>
      </w:r>
      <w:r>
        <w:rPr>
          <w:i/>
          <w:color w:val="0070C0"/>
        </w:rPr>
        <w:t>s.</w:t>
      </w:r>
      <w:r w:rsidRPr="00D060B4">
        <w:t>]</w:t>
      </w:r>
    </w:p>
    <w:p w14:paraId="388127A1" w14:textId="77777777" w:rsidR="00A56676" w:rsidRPr="00D060B4" w:rsidRDefault="00A56676" w:rsidP="00A56676">
      <w:pPr>
        <w:pStyle w:val="BodyText"/>
        <w:spacing w:before="120" w:line="240" w:lineRule="auto"/>
        <w:ind w:left="806" w:right="994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 w:rsidRPr="00D060B4">
        <w:rPr>
          <w:rFonts w:ascii="Times New Roman" w:hAnsi="Times New Roman"/>
          <w:sz w:val="20"/>
          <w:szCs w:val="20"/>
        </w:rPr>
        <w:t>[</w:t>
      </w:r>
      <w:r w:rsidRPr="00F44918">
        <w:rPr>
          <w:rFonts w:ascii="Times New Roman" w:hAnsi="Times New Roman"/>
          <w:i/>
          <w:color w:val="0070C0"/>
          <w:spacing w:val="0"/>
          <w:sz w:val="20"/>
          <w:szCs w:val="20"/>
        </w:rPr>
        <w:t>Insert fire protection system (detector, alarm, sprinkler, portable fire extinguisher, etc.) procedures</w:t>
      </w:r>
      <w:r>
        <w:rPr>
          <w:rFonts w:ascii="Times New Roman" w:hAnsi="Times New Roman"/>
          <w:i/>
          <w:color w:val="0070C0"/>
          <w:spacing w:val="0"/>
          <w:sz w:val="20"/>
          <w:szCs w:val="20"/>
        </w:rPr>
        <w:t xml:space="preserve"> and PSFC contact information.  </w:t>
      </w:r>
      <w:r w:rsidRPr="00F44918">
        <w:rPr>
          <w:rFonts w:ascii="Times New Roman" w:hAnsi="Times New Roman"/>
          <w:i/>
          <w:color w:val="0070C0"/>
          <w:spacing w:val="0"/>
          <w:sz w:val="20"/>
          <w:szCs w:val="20"/>
        </w:rPr>
        <w:t>Insert security system (detector, alarm, etc.) procedures.</w:t>
      </w:r>
      <w:r w:rsidRPr="005465DB">
        <w:rPr>
          <w:rFonts w:ascii="Times New Roman" w:hAnsi="Times New Roman"/>
          <w:iCs/>
          <w:sz w:val="20"/>
          <w:szCs w:val="20"/>
        </w:rPr>
        <w:t xml:space="preserve">  </w:t>
      </w:r>
      <w:r w:rsidRPr="00D060B4">
        <w:rPr>
          <w:rFonts w:ascii="Times New Roman" w:hAnsi="Times New Roman"/>
          <w:b/>
          <w:bCs/>
          <w:iCs/>
          <w:sz w:val="20"/>
          <w:szCs w:val="20"/>
        </w:rPr>
        <w:t>Redact sensitive information</w:t>
      </w:r>
      <w:r>
        <w:rPr>
          <w:rFonts w:ascii="Times New Roman" w:hAnsi="Times New Roman"/>
          <w:b/>
          <w:bCs/>
          <w:iCs/>
          <w:sz w:val="20"/>
          <w:szCs w:val="20"/>
        </w:rPr>
        <w:t>.</w:t>
      </w:r>
      <w:r w:rsidRPr="00D060B4">
        <w:rPr>
          <w:rFonts w:ascii="Times New Roman" w:hAnsi="Times New Roman"/>
          <w:sz w:val="20"/>
          <w:szCs w:val="20"/>
        </w:rPr>
        <w:t>]</w:t>
      </w:r>
    </w:p>
    <w:p w14:paraId="4DDA10FC" w14:textId="77777777" w:rsidR="00A56676" w:rsidRPr="00D060B4" w:rsidRDefault="00A56676" w:rsidP="00A56676">
      <w:pPr>
        <w:pStyle w:val="BodyText"/>
        <w:spacing w:before="120" w:line="240" w:lineRule="auto"/>
        <w:ind w:left="806" w:right="9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</w:t>
      </w:r>
      <w:r w:rsidRPr="00D060B4">
        <w:rPr>
          <w:rFonts w:ascii="Times New Roman" w:hAnsi="Times New Roman"/>
          <w:sz w:val="20"/>
          <w:szCs w:val="20"/>
        </w:rPr>
        <w:t>[</w:t>
      </w:r>
      <w:r w:rsidRPr="00F44918">
        <w:rPr>
          <w:rFonts w:ascii="Times New Roman" w:hAnsi="Times New Roman"/>
          <w:i/>
          <w:color w:val="0070C0"/>
          <w:spacing w:val="0"/>
          <w:sz w:val="20"/>
          <w:szCs w:val="20"/>
        </w:rPr>
        <w:t>Insert fire response and emergency evacuation procedures, including evacuation routes</w:t>
      </w:r>
      <w:r>
        <w:rPr>
          <w:rFonts w:ascii="Times New Roman" w:hAnsi="Times New Roman"/>
          <w:i/>
          <w:color w:val="0070C0"/>
          <w:spacing w:val="0"/>
          <w:sz w:val="20"/>
          <w:szCs w:val="20"/>
        </w:rPr>
        <w:t>.</w:t>
      </w:r>
      <w:r w:rsidRPr="00D060B4">
        <w:rPr>
          <w:rFonts w:ascii="Times New Roman" w:hAnsi="Times New Roman"/>
          <w:sz w:val="20"/>
          <w:szCs w:val="20"/>
        </w:rPr>
        <w:t>]</w:t>
      </w:r>
    </w:p>
    <w:p w14:paraId="41CA6C43" w14:textId="77777777" w:rsidR="00A56676" w:rsidRDefault="00A56676" w:rsidP="00A56676">
      <w:pPr>
        <w:pStyle w:val="BodyText"/>
        <w:spacing w:before="120" w:line="240" w:lineRule="auto"/>
        <w:ind w:left="806" w:right="9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d. </w:t>
      </w:r>
      <w:r w:rsidRPr="00D060B4">
        <w:rPr>
          <w:rFonts w:ascii="Times New Roman" w:hAnsi="Times New Roman"/>
          <w:sz w:val="20"/>
          <w:szCs w:val="20"/>
        </w:rPr>
        <w:t>[</w:t>
      </w:r>
      <w:r w:rsidRPr="00F44918">
        <w:rPr>
          <w:rFonts w:ascii="Times New Roman" w:hAnsi="Times New Roman"/>
          <w:i/>
          <w:color w:val="0070C0"/>
          <w:spacing w:val="0"/>
          <w:sz w:val="20"/>
          <w:szCs w:val="20"/>
        </w:rPr>
        <w:t>Insert other procedures (circuit breaker trip, power outage, suspicious activity, etc.) as needed</w:t>
      </w:r>
      <w:r>
        <w:rPr>
          <w:rFonts w:ascii="Times New Roman" w:hAnsi="Times New Roman"/>
          <w:i/>
          <w:color w:val="0070C0"/>
          <w:spacing w:val="0"/>
          <w:sz w:val="20"/>
          <w:szCs w:val="20"/>
        </w:rPr>
        <w:t>.</w:t>
      </w:r>
      <w:r w:rsidRPr="00D060B4">
        <w:rPr>
          <w:rFonts w:ascii="Times New Roman" w:hAnsi="Times New Roman"/>
          <w:sz w:val="20"/>
          <w:szCs w:val="20"/>
        </w:rPr>
        <w:t>]</w:t>
      </w:r>
    </w:p>
    <w:p w14:paraId="0DA82294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06435240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5FB7037E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0B0DD2FE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2C640210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13AFE49A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5DE191AE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319EA0B8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2D888AE3" w14:textId="77777777" w:rsidR="00A56676" w:rsidRPr="009B17CD" w:rsidRDefault="00A56676" w:rsidP="00A56676">
      <w:pPr>
        <w:pStyle w:val="ListParagraph"/>
        <w:spacing w:before="80"/>
        <w:ind w:left="806" w:right="994"/>
        <w:jc w:val="center"/>
      </w:pPr>
    </w:p>
    <w:p w14:paraId="6A44EA59" w14:textId="77777777" w:rsidR="00A56676" w:rsidRPr="0009055F" w:rsidRDefault="00A56676" w:rsidP="00A56676">
      <w:pPr>
        <w:pStyle w:val="ListParagraph"/>
        <w:spacing w:before="80"/>
        <w:ind w:left="806" w:right="994"/>
        <w:jc w:val="center"/>
      </w:pPr>
      <w:r w:rsidRPr="0009055F">
        <w:rPr>
          <w:b/>
          <w:bCs/>
        </w:rPr>
        <w:t>Figure 14.4. Standard Operating Procedures:</w:t>
      </w:r>
      <w:r w:rsidRPr="0009055F">
        <w:rPr>
          <w:b/>
          <w:bCs/>
        </w:rPr>
        <w:br/>
        <w:t xml:space="preserve">Contractors Working with Museum Collections and in Structures Housing Collections </w:t>
      </w:r>
      <w:r>
        <w:rPr>
          <w:b/>
          <w:bCs/>
        </w:rPr>
        <w:t xml:space="preserve">(Sample) </w:t>
      </w:r>
      <w:r w:rsidRPr="0009055F">
        <w:rPr>
          <w:b/>
          <w:bCs/>
        </w:rPr>
        <w:t>(continued)</w:t>
      </w:r>
    </w:p>
    <w:p w14:paraId="66993922" w14:textId="77777777" w:rsidR="004449E3" w:rsidRDefault="004449E3"/>
    <w:sectPr w:rsidR="004449E3" w:rsidSect="00A56676">
      <w:pgSz w:w="12240" w:h="15840"/>
      <w:pgMar w:top="1382" w:right="504" w:bottom="27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E13"/>
    <w:multiLevelType w:val="hybridMultilevel"/>
    <w:tmpl w:val="97121BE4"/>
    <w:lvl w:ilvl="0" w:tplc="79565A58">
      <w:start w:val="1"/>
      <w:numFmt w:val="decimal"/>
      <w:lvlText w:val="%1."/>
      <w:lvlJc w:val="left"/>
      <w:pPr>
        <w:ind w:left="18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7DBE3FF6">
      <w:start w:val="1"/>
      <w:numFmt w:val="decimal"/>
      <w:lvlText w:val="%2."/>
      <w:lvlJc w:val="left"/>
      <w:pPr>
        <w:ind w:left="1911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BDCA761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55948468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0C764A3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C24EE482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plc="EB722666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7" w:tplc="5DBECEFC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  <w:lvl w:ilvl="8" w:tplc="127451BC">
      <w:numFmt w:val="bullet"/>
      <w:lvlText w:val="•"/>
      <w:lvlJc w:val="left"/>
      <w:pPr>
        <w:ind w:left="92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C526BB"/>
    <w:multiLevelType w:val="hybridMultilevel"/>
    <w:tmpl w:val="09A42126"/>
    <w:lvl w:ilvl="0" w:tplc="C548DF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47024"/>
    <w:multiLevelType w:val="hybridMultilevel"/>
    <w:tmpl w:val="A71C56E2"/>
    <w:lvl w:ilvl="0" w:tplc="AE0EBE36">
      <w:start w:val="1"/>
      <w:numFmt w:val="decimal"/>
      <w:lvlText w:val="%1."/>
      <w:lvlJc w:val="left"/>
      <w:pPr>
        <w:ind w:left="18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2778" w:hanging="360"/>
      </w:pPr>
    </w:lvl>
    <w:lvl w:ilvl="2" w:tplc="3814C0E8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3" w:tplc="25467666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4" w:tplc="898408D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5" w:tplc="867E178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C358A1B6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 w:tplc="3DBA8F38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 w:tplc="FA9A73EE">
      <w:numFmt w:val="bullet"/>
      <w:lvlText w:val="•"/>
      <w:lvlJc w:val="left"/>
      <w:pPr>
        <w:ind w:left="9484" w:hanging="360"/>
      </w:pPr>
      <w:rPr>
        <w:rFonts w:hint="default"/>
        <w:lang w:val="en-US" w:eastAsia="en-US" w:bidi="ar-SA"/>
      </w:rPr>
    </w:lvl>
  </w:abstractNum>
  <w:num w:numId="1" w16cid:durableId="1546453809">
    <w:abstractNumId w:val="0"/>
  </w:num>
  <w:num w:numId="2" w16cid:durableId="374282074">
    <w:abstractNumId w:val="2"/>
  </w:num>
  <w:num w:numId="3" w16cid:durableId="166104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76"/>
    <w:rsid w:val="0029353A"/>
    <w:rsid w:val="0031740A"/>
    <w:rsid w:val="004449E3"/>
    <w:rsid w:val="00A56676"/>
    <w:rsid w:val="00BE7CB8"/>
    <w:rsid w:val="00C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3602"/>
  <w15:chartTrackingRefBased/>
  <w15:docId w15:val="{98271D64-FB17-4E13-A0D7-CA7FABA4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76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6676"/>
    <w:pPr>
      <w:tabs>
        <w:tab w:val="left" w:pos="-720"/>
      </w:tabs>
      <w:suppressAutoHyphens/>
      <w:spacing w:line="240" w:lineRule="atLeast"/>
      <w:jc w:val="both"/>
    </w:pPr>
    <w:rPr>
      <w:rFonts w:ascii="Footlight MT Light" w:hAnsi="Footlight MT Light"/>
      <w:spacing w:val="-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56676"/>
    <w:rPr>
      <w:rFonts w:ascii="Footlight MT Light" w:eastAsia="Times New Roman" w:hAnsi="Footlight MT Light" w:cs="Times New Roman"/>
      <w:spacing w:val="-2"/>
    </w:rPr>
  </w:style>
  <w:style w:type="paragraph" w:styleId="ListParagraph">
    <w:name w:val="List Paragraph"/>
    <w:basedOn w:val="Normal"/>
    <w:uiPriority w:val="34"/>
    <w:qFormat/>
    <w:rsid w:val="00A56676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A5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Dumler, Amber</dc:creator>
  <cp:keywords/>
  <dc:description/>
  <cp:lastModifiedBy>Dumler, Amber</cp:lastModifiedBy>
  <cp:revision>3</cp:revision>
  <dcterms:created xsi:type="dcterms:W3CDTF">2024-10-09T10:51:00Z</dcterms:created>
  <dcterms:modified xsi:type="dcterms:W3CDTF">2024-10-09T13:22:00Z</dcterms:modified>
</cp:coreProperties>
</file>