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8BE2" w14:textId="77777777" w:rsidR="00EF3BC7" w:rsidRPr="00617E59" w:rsidRDefault="00EF3BC7" w:rsidP="00EF3BC7">
      <w:pPr>
        <w:ind w:right="-180"/>
        <w:jc w:val="center"/>
        <w:rPr>
          <w:rFonts w:ascii="Times New Roman" w:hAnsi="Times New Roman"/>
          <w:b/>
          <w:bCs/>
        </w:rPr>
      </w:pPr>
      <w:r w:rsidRPr="00617E59">
        <w:rPr>
          <w:rFonts w:ascii="Times New Roman" w:hAnsi="Times New Roman"/>
          <w:b/>
          <w:bCs/>
        </w:rPr>
        <w:t>National Park Service</w:t>
      </w:r>
    </w:p>
    <w:p w14:paraId="6BFF5B77" w14:textId="77777777" w:rsidR="00EF3BC7" w:rsidRPr="00617E59" w:rsidRDefault="00EF3BC7" w:rsidP="00EF3BC7">
      <w:pPr>
        <w:ind w:right="-180"/>
        <w:jc w:val="center"/>
        <w:rPr>
          <w:rFonts w:ascii="Times New Roman" w:hAnsi="Times New Roman"/>
          <w:b/>
          <w:bCs/>
        </w:rPr>
      </w:pPr>
      <w:bookmarkStart w:id="0" w:name="_Hlk133498343"/>
      <w:r w:rsidRPr="00617E59">
        <w:rPr>
          <w:rFonts w:ascii="Times New Roman" w:hAnsi="Times New Roman"/>
          <w:b/>
          <w:bCs/>
        </w:rPr>
        <w:t>Staff Protocols for Museum Objects on Exhibit</w:t>
      </w:r>
      <w:bookmarkEnd w:id="0"/>
      <w:r>
        <w:rPr>
          <w:rFonts w:ascii="Times New Roman" w:hAnsi="Times New Roman"/>
          <w:b/>
          <w:bCs/>
        </w:rPr>
        <w:t xml:space="preserve"> (Sample)</w:t>
      </w:r>
    </w:p>
    <w:p w14:paraId="3E64DE4A" w14:textId="77777777" w:rsidR="00EF3BC7" w:rsidRPr="00617E59" w:rsidRDefault="00EF3BC7" w:rsidP="00EF3BC7">
      <w:pPr>
        <w:jc w:val="center"/>
        <w:rPr>
          <w:rFonts w:ascii="Times New Roman" w:hAnsi="Times New Roman"/>
          <w:szCs w:val="48"/>
        </w:rPr>
      </w:pPr>
    </w:p>
    <w:p w14:paraId="3EB092AD" w14:textId="77777777" w:rsidR="00EF3BC7" w:rsidRPr="00617E59" w:rsidRDefault="00EF3BC7" w:rsidP="00EF3BC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Statement of Purpose:</w:t>
      </w:r>
      <w:r>
        <w:rPr>
          <w:rFonts w:ascii="Times New Roman" w:hAnsi="Times New Roman"/>
        </w:rPr>
        <w:t xml:space="preserve"> Museum collections contribute to the NPS and </w:t>
      </w:r>
      <w:r w:rsidRPr="00402E21">
        <w:t>[</w:t>
      </w:r>
      <w:r w:rsidRPr="00402E21">
        <w:rPr>
          <w:i/>
          <w:iCs/>
          <w:color w:val="0070C0"/>
        </w:rPr>
        <w:t>Park</w:t>
      </w:r>
      <w:r>
        <w:rPr>
          <w:i/>
          <w:iCs/>
          <w:color w:val="0070C0"/>
        </w:rPr>
        <w:t xml:space="preserve"> name</w:t>
      </w:r>
      <w:r w:rsidRPr="00402E21">
        <w:t xml:space="preserve">] </w:t>
      </w:r>
      <w:r>
        <w:rPr>
          <w:rFonts w:ascii="Times New Roman" w:hAnsi="Times New Roman"/>
        </w:rPr>
        <w:t xml:space="preserve">education and interpretative mission.  </w:t>
      </w:r>
      <w:r w:rsidRPr="00617E59">
        <w:rPr>
          <w:rFonts w:ascii="Times New Roman" w:hAnsi="Times New Roman"/>
        </w:rPr>
        <w:t xml:space="preserve">These protocols assist staff </w:t>
      </w:r>
      <w:r>
        <w:rPr>
          <w:rFonts w:ascii="Times New Roman" w:hAnsi="Times New Roman"/>
        </w:rPr>
        <w:t>to protect and secure</w:t>
      </w:r>
      <w:r w:rsidRPr="00617E59">
        <w:rPr>
          <w:rFonts w:ascii="Times New Roman" w:hAnsi="Times New Roman"/>
        </w:rPr>
        <w:t xml:space="preserve"> NPS museum objects on exhibit in furnished historic structures, visitor centers, and exhibit galleries.</w:t>
      </w:r>
      <w:r>
        <w:rPr>
          <w:rFonts w:ascii="Times New Roman" w:hAnsi="Times New Roman"/>
        </w:rPr>
        <w:t xml:space="preserve">  Distribute these protocols to staff on duty in exhibit areas.</w:t>
      </w:r>
    </w:p>
    <w:p w14:paraId="16F7CFDE" w14:textId="77777777" w:rsidR="00EF3BC7" w:rsidRPr="00617E59" w:rsidRDefault="00EF3BC7" w:rsidP="00EF3BC7">
      <w:pPr>
        <w:rPr>
          <w:rFonts w:ascii="Times New Roman" w:hAnsi="Times New Roman"/>
        </w:rPr>
      </w:pPr>
    </w:p>
    <w:p w14:paraId="3BEE2308" w14:textId="77777777" w:rsidR="00EF3BC7" w:rsidRPr="00617E59" w:rsidRDefault="00EF3BC7" w:rsidP="00EF3BC7">
      <w:pPr>
        <w:pStyle w:val="ListParagraph"/>
        <w:widowControl/>
        <w:numPr>
          <w:ilvl w:val="0"/>
          <w:numId w:val="1"/>
        </w:numPr>
        <w:ind w:left="360"/>
        <w:contextualSpacing/>
      </w:pPr>
      <w:r w:rsidRPr="00617E59">
        <w:rPr>
          <w:b/>
          <w:bCs/>
          <w:i/>
          <w:iCs/>
        </w:rPr>
        <w:t>Only</w:t>
      </w:r>
      <w:r w:rsidRPr="00617E59">
        <w:t xml:space="preserve"> trained museum staff experienced in object handling are authorized to handle or move museum objects.  Non-museum staff are </w:t>
      </w:r>
      <w:r w:rsidRPr="00617E59">
        <w:rPr>
          <w:b/>
          <w:bCs/>
          <w:i/>
          <w:iCs/>
        </w:rPr>
        <w:t>not</w:t>
      </w:r>
      <w:r w:rsidRPr="00617E59">
        <w:t xml:space="preserve"> permitted to touch</w:t>
      </w:r>
      <w:r>
        <w:t xml:space="preserve"> </w:t>
      </w:r>
      <w:r w:rsidRPr="00617E59">
        <w:t>or move museum objects on exhibit.</w:t>
      </w:r>
    </w:p>
    <w:p w14:paraId="39C2CA44" w14:textId="77777777" w:rsidR="00EF3BC7" w:rsidRPr="00E64591" w:rsidRDefault="00EF3BC7" w:rsidP="00EF3BC7">
      <w:pPr>
        <w:pStyle w:val="ListParagraph"/>
        <w:widowControl/>
        <w:numPr>
          <w:ilvl w:val="0"/>
          <w:numId w:val="1"/>
        </w:numPr>
        <w:spacing w:before="160" w:after="120"/>
        <w:ind w:left="360"/>
      </w:pPr>
      <w:r w:rsidRPr="00E64591">
        <w:t>Inform visitors that the following are prohibited:</w:t>
      </w:r>
    </w:p>
    <w:p w14:paraId="00D65CD0" w14:textId="77777777" w:rsidR="00EF3BC7" w:rsidRPr="00E64591" w:rsidRDefault="00EF3BC7" w:rsidP="00EF3BC7">
      <w:pPr>
        <w:pStyle w:val="ListParagraph"/>
        <w:widowControl/>
        <w:numPr>
          <w:ilvl w:val="1"/>
          <w:numId w:val="2"/>
        </w:numPr>
        <w:ind w:left="810"/>
        <w:contextualSpacing/>
      </w:pPr>
      <w:r w:rsidRPr="00E64591">
        <w:t>Personal belonging such as backpacks or oversized bags, strollers, and umbrellas.</w:t>
      </w:r>
    </w:p>
    <w:p w14:paraId="3AB33D54" w14:textId="77777777" w:rsidR="00EF3BC7" w:rsidRPr="00617E59" w:rsidRDefault="00EF3BC7" w:rsidP="00EF3BC7">
      <w:pPr>
        <w:pStyle w:val="ListParagraph"/>
        <w:widowControl/>
        <w:numPr>
          <w:ilvl w:val="1"/>
          <w:numId w:val="2"/>
        </w:numPr>
        <w:ind w:left="810"/>
        <w:contextualSpacing/>
      </w:pPr>
      <w:r w:rsidRPr="00E64591">
        <w:t xml:space="preserve">Food and </w:t>
      </w:r>
      <w:r w:rsidRPr="003D5408">
        <w:t>beverages (except water)</w:t>
      </w:r>
      <w:r w:rsidRPr="00E64591">
        <w:t>, smoking</w:t>
      </w:r>
      <w:r w:rsidRPr="00617E59">
        <w:t>, use of pens, and flash photography.</w:t>
      </w:r>
    </w:p>
    <w:p w14:paraId="094487FA" w14:textId="77777777" w:rsidR="00EF3BC7" w:rsidRPr="00617E59" w:rsidRDefault="00EF3BC7" w:rsidP="00EF3BC7">
      <w:pPr>
        <w:pStyle w:val="ListParagraph"/>
        <w:widowControl/>
        <w:numPr>
          <w:ilvl w:val="0"/>
          <w:numId w:val="1"/>
        </w:numPr>
        <w:spacing w:before="160" w:after="120"/>
        <w:ind w:left="360"/>
      </w:pPr>
      <w:r>
        <w:t>I</w:t>
      </w:r>
      <w:r w:rsidRPr="0071585E">
        <w:t xml:space="preserve">nform visitors that </w:t>
      </w:r>
      <w:r>
        <w:t>touching objects</w:t>
      </w:r>
      <w:r w:rsidRPr="0071585E">
        <w:t xml:space="preserve"> is not permitted </w:t>
      </w:r>
      <w:r>
        <w:t>as it can cause</w:t>
      </w:r>
      <w:r w:rsidRPr="0071585E">
        <w:t xml:space="preserve"> damag</w:t>
      </w:r>
      <w:r>
        <w:t>e</w:t>
      </w:r>
      <w:r w:rsidRPr="0071585E">
        <w:t>.</w:t>
      </w:r>
      <w:r>
        <w:t xml:space="preserve">  Staff ensure visitors keep well out of reach</w:t>
      </w:r>
      <w:r w:rsidRPr="00617E59">
        <w:t xml:space="preserve"> </w:t>
      </w:r>
      <w:r>
        <w:t>of objects on exhibit and</w:t>
      </w:r>
      <w:r w:rsidRPr="00617E59">
        <w:t xml:space="preserve"> </w:t>
      </w:r>
      <w:r w:rsidRPr="0052247D">
        <w:rPr>
          <w:b/>
          <w:bCs/>
          <w:i/>
          <w:iCs/>
        </w:rPr>
        <w:t>do not</w:t>
      </w:r>
      <w:r w:rsidRPr="00617E59">
        <w:t>:</w:t>
      </w:r>
    </w:p>
    <w:p w14:paraId="25213333" w14:textId="77777777" w:rsidR="00EF3BC7" w:rsidRPr="00617E59" w:rsidRDefault="00EF3BC7" w:rsidP="00EF3BC7">
      <w:pPr>
        <w:pStyle w:val="ListParagraph"/>
        <w:widowControl/>
        <w:numPr>
          <w:ilvl w:val="1"/>
          <w:numId w:val="2"/>
        </w:numPr>
        <w:ind w:left="810"/>
        <w:contextualSpacing/>
      </w:pPr>
      <w:r w:rsidRPr="00617E59">
        <w:t>Touch, handle, or move museum objects.</w:t>
      </w:r>
    </w:p>
    <w:p w14:paraId="05B5F9E8" w14:textId="77777777" w:rsidR="00EF3BC7" w:rsidRPr="00617E59" w:rsidRDefault="00EF3BC7" w:rsidP="00EF3BC7">
      <w:pPr>
        <w:pStyle w:val="ListParagraph"/>
        <w:widowControl/>
        <w:numPr>
          <w:ilvl w:val="1"/>
          <w:numId w:val="2"/>
        </w:numPr>
        <w:ind w:left="810"/>
        <w:contextualSpacing/>
      </w:pPr>
      <w:r w:rsidRPr="00617E59">
        <w:t xml:space="preserve">Lean against or sit on </w:t>
      </w:r>
      <w:r>
        <w:t xml:space="preserve">objects (chairs, cabinets, tables, etc.) and </w:t>
      </w:r>
      <w:r w:rsidRPr="00617E59">
        <w:t>exhibit furniture such as cases, display platforms, and barriers</w:t>
      </w:r>
      <w:r>
        <w:t>, or against walls and doors</w:t>
      </w:r>
      <w:r w:rsidRPr="00617E59">
        <w:t>.</w:t>
      </w:r>
    </w:p>
    <w:p w14:paraId="3140EC9C" w14:textId="77777777" w:rsidR="00EF3BC7" w:rsidRPr="00617E59" w:rsidRDefault="00EF3BC7" w:rsidP="00EF3BC7">
      <w:pPr>
        <w:pStyle w:val="ListParagraph"/>
        <w:widowControl/>
        <w:numPr>
          <w:ilvl w:val="0"/>
          <w:numId w:val="1"/>
        </w:numPr>
        <w:spacing w:before="160" w:after="120"/>
        <w:ind w:left="360"/>
      </w:pPr>
      <w:r>
        <w:t>A</w:t>
      </w:r>
      <w:r w:rsidRPr="00617E59">
        <w:t>void crowding</w:t>
      </w:r>
      <w:r>
        <w:t xml:space="preserve"> during</w:t>
      </w:r>
      <w:r w:rsidRPr="00617E59">
        <w:t xml:space="preserve"> tours of furnished historic structures </w:t>
      </w:r>
      <w:r>
        <w:t>and</w:t>
      </w:r>
      <w:r w:rsidRPr="00617E59">
        <w:t>:</w:t>
      </w:r>
    </w:p>
    <w:p w14:paraId="22C1E069" w14:textId="77777777" w:rsidR="00EF3BC7" w:rsidRPr="00402E21" w:rsidRDefault="00EF3BC7" w:rsidP="00EF3BC7">
      <w:pPr>
        <w:pStyle w:val="ListParagraph"/>
        <w:widowControl/>
        <w:numPr>
          <w:ilvl w:val="1"/>
          <w:numId w:val="2"/>
        </w:numPr>
        <w:ind w:left="810"/>
        <w:contextualSpacing/>
      </w:pPr>
      <w:r w:rsidRPr="00402E21">
        <w:t xml:space="preserve">Divide large tour groups into smaller groups as determined by the </w:t>
      </w:r>
      <w:r>
        <w:t xml:space="preserve">park </w:t>
      </w:r>
      <w:r w:rsidRPr="00402E21">
        <w:t>interdisciplinary team.</w:t>
      </w:r>
      <w:r>
        <w:t xml:space="preserve">  A</w:t>
      </w:r>
      <w:r w:rsidRPr="009C3ADF">
        <w:t xml:space="preserve"> safe number is</w:t>
      </w:r>
      <w:r>
        <w:t xml:space="preserve"> generally</w:t>
      </w:r>
      <w:r w:rsidRPr="009C3ADF">
        <w:t xml:space="preserve"> 15 or fewer, </w:t>
      </w:r>
      <w:r>
        <w:t xml:space="preserve">however this number </w:t>
      </w:r>
      <w:r w:rsidRPr="009C3ADF">
        <w:t>may be larger or smaller depending on</w:t>
      </w:r>
      <w:r>
        <w:t xml:space="preserve"> space</w:t>
      </w:r>
      <w:r w:rsidRPr="009C3ADF">
        <w:t xml:space="preserve"> capacity</w:t>
      </w:r>
      <w:r>
        <w:t xml:space="preserve"> and staffing.  Tour size in [</w:t>
      </w:r>
      <w:r>
        <w:rPr>
          <w:i/>
          <w:iCs/>
          <w:color w:val="0070C0"/>
        </w:rPr>
        <w:t>furnished historic structure name</w:t>
      </w:r>
      <w:r>
        <w:t>] is not to exceed [</w:t>
      </w:r>
      <w:r>
        <w:rPr>
          <w:i/>
          <w:iCs/>
          <w:color w:val="0070C0"/>
        </w:rPr>
        <w:t>number</w:t>
      </w:r>
      <w:r>
        <w:t>] people.</w:t>
      </w:r>
    </w:p>
    <w:p w14:paraId="02CAD76B" w14:textId="77777777" w:rsidR="00EF3BC7" w:rsidRPr="00617E59" w:rsidRDefault="00EF3BC7" w:rsidP="00EF3BC7">
      <w:pPr>
        <w:pStyle w:val="ListParagraph"/>
        <w:widowControl/>
        <w:numPr>
          <w:ilvl w:val="1"/>
          <w:numId w:val="2"/>
        </w:numPr>
        <w:ind w:left="810"/>
        <w:contextualSpacing/>
      </w:pPr>
      <w:r w:rsidRPr="00617E59">
        <w:t xml:space="preserve">Conduct </w:t>
      </w:r>
      <w:r>
        <w:t xml:space="preserve">accompanied </w:t>
      </w:r>
      <w:r w:rsidRPr="00617E59">
        <w:t>tours in pair</w:t>
      </w:r>
      <w:r>
        <w:t>s</w:t>
      </w:r>
      <w:r w:rsidRPr="00617E59">
        <w:t>, with a “leader” at the front and a “trailer” at the back</w:t>
      </w:r>
      <w:r>
        <w:t xml:space="preserve"> to</w:t>
      </w:r>
      <w:r w:rsidRPr="00617E59">
        <w:t xml:space="preserve"> monitor </w:t>
      </w:r>
      <w:r>
        <w:t xml:space="preserve">the tour </w:t>
      </w:r>
      <w:r w:rsidRPr="00617E59">
        <w:t>group.</w:t>
      </w:r>
    </w:p>
    <w:p w14:paraId="3AB6CAFC" w14:textId="77777777" w:rsidR="00EF3BC7" w:rsidRPr="00617E59" w:rsidRDefault="00EF3BC7" w:rsidP="00EF3BC7">
      <w:pPr>
        <w:pStyle w:val="ListParagraph"/>
        <w:widowControl/>
        <w:numPr>
          <w:ilvl w:val="2"/>
          <w:numId w:val="2"/>
        </w:numPr>
        <w:spacing w:before="80"/>
        <w:ind w:left="1166"/>
      </w:pPr>
      <w:r>
        <w:t>I</w:t>
      </w:r>
      <w:r w:rsidRPr="00617E59">
        <w:t>f</w:t>
      </w:r>
      <w:r>
        <w:t xml:space="preserve"> </w:t>
      </w:r>
      <w:r w:rsidRPr="00617E59">
        <w:t>“trailer” is not available</w:t>
      </w:r>
      <w:r>
        <w:t xml:space="preserve">, </w:t>
      </w:r>
      <w:r w:rsidRPr="00617E59">
        <w:t xml:space="preserve">tour leader </w:t>
      </w:r>
      <w:proofErr w:type="gramStart"/>
      <w:r w:rsidRPr="00617E59">
        <w:t>keep</w:t>
      </w:r>
      <w:r>
        <w:t>s</w:t>
      </w:r>
      <w:r w:rsidRPr="00617E59">
        <w:t xml:space="preserve"> the entire </w:t>
      </w:r>
      <w:r>
        <w:t xml:space="preserve">tour </w:t>
      </w:r>
      <w:r w:rsidRPr="00617E59">
        <w:t>group within line of sight at all times</w:t>
      </w:r>
      <w:proofErr w:type="gramEnd"/>
      <w:r>
        <w:t xml:space="preserve"> and limits tour size to no more than [</w:t>
      </w:r>
      <w:r>
        <w:rPr>
          <w:i/>
          <w:iCs/>
          <w:color w:val="0070C0"/>
        </w:rPr>
        <w:t>number</w:t>
      </w:r>
      <w:r>
        <w:t>] people per single staff</w:t>
      </w:r>
      <w:r w:rsidRPr="00617E59">
        <w:t>.</w:t>
      </w:r>
    </w:p>
    <w:p w14:paraId="1195F859" w14:textId="77777777" w:rsidR="00EF3BC7" w:rsidRDefault="00EF3BC7" w:rsidP="00EF3BC7">
      <w:pPr>
        <w:pStyle w:val="ListParagraph"/>
        <w:widowControl/>
        <w:numPr>
          <w:ilvl w:val="2"/>
          <w:numId w:val="2"/>
        </w:numPr>
        <w:spacing w:after="80"/>
        <w:ind w:left="1166"/>
      </w:pPr>
      <w:proofErr w:type="gramStart"/>
      <w:r w:rsidRPr="00617E59">
        <w:t xml:space="preserve">Keep the </w:t>
      </w:r>
      <w:r>
        <w:t xml:space="preserve">tour </w:t>
      </w:r>
      <w:r w:rsidRPr="00617E59">
        <w:t>group together at all times</w:t>
      </w:r>
      <w:proofErr w:type="gramEnd"/>
      <w:r w:rsidRPr="00617E59">
        <w:t xml:space="preserve">.  </w:t>
      </w:r>
      <w:r w:rsidRPr="00617E59">
        <w:rPr>
          <w:b/>
          <w:bCs/>
          <w:i/>
          <w:iCs/>
        </w:rPr>
        <w:t>Do not</w:t>
      </w:r>
      <w:r w:rsidRPr="00617E59">
        <w:t xml:space="preserve"> allow </w:t>
      </w:r>
      <w:r>
        <w:t>individuals</w:t>
      </w:r>
      <w:r w:rsidRPr="00617E59">
        <w:t xml:space="preserve"> to move through the structure unattended.</w:t>
      </w:r>
      <w:r>
        <w:t xml:space="preserve">  Staff</w:t>
      </w:r>
      <w:r w:rsidRPr="006F1281">
        <w:t xml:space="preserve"> </w:t>
      </w:r>
      <w:r>
        <w:t>escorts any visitor who needs to leave the tour early and ensures tour group is not left unaccompanied.</w:t>
      </w:r>
    </w:p>
    <w:p w14:paraId="41652DCC" w14:textId="77777777" w:rsidR="00EF3BC7" w:rsidRPr="00617E59" w:rsidRDefault="00EF3BC7" w:rsidP="00EF3BC7">
      <w:pPr>
        <w:pStyle w:val="ListParagraph"/>
        <w:widowControl/>
        <w:numPr>
          <w:ilvl w:val="1"/>
          <w:numId w:val="2"/>
        </w:numPr>
        <w:ind w:left="810"/>
        <w:contextualSpacing/>
      </w:pPr>
      <w:r>
        <w:t>Intermittently monitor unaccompanied tours to ensure collections security.</w:t>
      </w:r>
    </w:p>
    <w:p w14:paraId="619ABF2D" w14:textId="77777777" w:rsidR="00EF3BC7" w:rsidRDefault="00EF3BC7" w:rsidP="00EF3BC7">
      <w:pPr>
        <w:pStyle w:val="ListParagraph"/>
        <w:widowControl/>
        <w:numPr>
          <w:ilvl w:val="0"/>
          <w:numId w:val="1"/>
        </w:numPr>
        <w:spacing w:before="160" w:after="120"/>
        <w:ind w:left="360"/>
      </w:pPr>
      <w:r>
        <w:t xml:space="preserve">Follow established museum </w:t>
      </w:r>
      <w:r w:rsidRPr="00617E59">
        <w:t>opening and closing</w:t>
      </w:r>
      <w:r>
        <w:t xml:space="preserve"> procedures for each structure exhibiting collections (see [</w:t>
      </w:r>
      <w:r w:rsidRPr="008B5011">
        <w:rPr>
          <w:i/>
          <w:iCs/>
          <w:color w:val="0070C0"/>
        </w:rPr>
        <w:t xml:space="preserve">customized </w:t>
      </w:r>
      <w:r w:rsidRPr="001C202E">
        <w:rPr>
          <w:i/>
          <w:iCs/>
          <w:color w:val="0070C0"/>
        </w:rPr>
        <w:t>Figure 14.</w:t>
      </w:r>
      <w:r>
        <w:rPr>
          <w:i/>
          <w:iCs/>
          <w:color w:val="0070C0"/>
        </w:rPr>
        <w:t xml:space="preserve">11: </w:t>
      </w:r>
      <w:r w:rsidRPr="006F1281">
        <w:rPr>
          <w:i/>
          <w:iCs/>
          <w:color w:val="0070C0"/>
        </w:rPr>
        <w:t>Furnished Historic Structure Opening and Closing Procedures</w:t>
      </w:r>
      <w:r>
        <w:t>]).</w:t>
      </w:r>
    </w:p>
    <w:p w14:paraId="08A519E9" w14:textId="77777777" w:rsidR="00EF3BC7" w:rsidRPr="00617E59" w:rsidRDefault="00EF3BC7" w:rsidP="00EF3BC7">
      <w:pPr>
        <w:pStyle w:val="ListParagraph"/>
        <w:widowControl/>
        <w:numPr>
          <w:ilvl w:val="0"/>
          <w:numId w:val="1"/>
        </w:numPr>
        <w:spacing w:before="160" w:after="120"/>
        <w:ind w:left="360"/>
      </w:pPr>
      <w:r>
        <w:t>Notify</w:t>
      </w:r>
      <w:r w:rsidRPr="00617E59">
        <w:t>:</w:t>
      </w:r>
    </w:p>
    <w:p w14:paraId="40DFBD16" w14:textId="77777777" w:rsidR="00EF3BC7" w:rsidRPr="00617E59" w:rsidRDefault="00EF3BC7" w:rsidP="00EF3BC7">
      <w:pPr>
        <w:pStyle w:val="ListParagraph"/>
        <w:widowControl/>
        <w:numPr>
          <w:ilvl w:val="1"/>
          <w:numId w:val="2"/>
        </w:numPr>
        <w:ind w:left="810"/>
        <w:contextualSpacing/>
      </w:pPr>
      <w:r w:rsidRPr="00617E59">
        <w:t>Curator [</w:t>
      </w:r>
      <w:r>
        <w:rPr>
          <w:i/>
          <w:iCs/>
          <w:color w:val="0070C0"/>
        </w:rPr>
        <w:t>name</w:t>
      </w:r>
      <w:r w:rsidRPr="00617E59">
        <w:t>] at [</w:t>
      </w:r>
      <w:r w:rsidRPr="00617E59">
        <w:rPr>
          <w:i/>
          <w:iCs/>
          <w:color w:val="0070C0"/>
        </w:rPr>
        <w:t>XXX-XXXX</w:t>
      </w:r>
      <w:r w:rsidRPr="00617E59">
        <w:t>] if any object loss or damage is noted</w:t>
      </w:r>
      <w:r>
        <w:t>, or if an object needs to be moved</w:t>
      </w:r>
      <w:r w:rsidRPr="00617E59">
        <w:t>.</w:t>
      </w:r>
    </w:p>
    <w:p w14:paraId="6265CCBB" w14:textId="77777777" w:rsidR="00EF3BC7" w:rsidRPr="00617E59" w:rsidRDefault="00EF3BC7" w:rsidP="00EF3BC7">
      <w:pPr>
        <w:pStyle w:val="ListParagraph"/>
        <w:widowControl/>
        <w:numPr>
          <w:ilvl w:val="1"/>
          <w:numId w:val="2"/>
        </w:numPr>
        <w:ind w:left="810"/>
        <w:contextualSpacing/>
      </w:pPr>
      <w:r w:rsidRPr="00617E59">
        <w:t>Physical Security Coordinator [</w:t>
      </w:r>
      <w:r>
        <w:rPr>
          <w:i/>
          <w:iCs/>
          <w:color w:val="0070C0"/>
        </w:rPr>
        <w:t>name</w:t>
      </w:r>
      <w:r w:rsidRPr="00617E59">
        <w:t>] at [</w:t>
      </w:r>
      <w:r w:rsidRPr="00617E59">
        <w:rPr>
          <w:i/>
          <w:iCs/>
          <w:color w:val="0070C0"/>
        </w:rPr>
        <w:t>XXX-XXXX</w:t>
      </w:r>
      <w:r w:rsidRPr="00617E59">
        <w:t>] and facility manager [</w:t>
      </w:r>
      <w:r>
        <w:rPr>
          <w:i/>
          <w:iCs/>
          <w:color w:val="0070C0"/>
        </w:rPr>
        <w:t>name</w:t>
      </w:r>
      <w:r w:rsidRPr="00617E59">
        <w:t>] at [</w:t>
      </w:r>
      <w:r w:rsidRPr="00617E59">
        <w:rPr>
          <w:i/>
          <w:iCs/>
          <w:color w:val="0070C0"/>
        </w:rPr>
        <w:t>XXX-XXXX</w:t>
      </w:r>
      <w:r w:rsidRPr="00617E59">
        <w:t>] if any security system element such as a detector, alarm, or camera is not functioning.</w:t>
      </w:r>
    </w:p>
    <w:p w14:paraId="766C16AB" w14:textId="77777777" w:rsidR="00EF3BC7" w:rsidRPr="00617E59" w:rsidRDefault="00EF3BC7" w:rsidP="00EF3BC7">
      <w:pPr>
        <w:pStyle w:val="ListParagraph"/>
        <w:widowControl/>
        <w:numPr>
          <w:ilvl w:val="1"/>
          <w:numId w:val="2"/>
        </w:numPr>
        <w:ind w:left="810"/>
        <w:contextualSpacing/>
      </w:pPr>
      <w:r w:rsidRPr="00617E59">
        <w:t>Park dispatch at [</w:t>
      </w:r>
      <w:r w:rsidRPr="00617E59">
        <w:rPr>
          <w:i/>
          <w:iCs/>
          <w:color w:val="0070C0"/>
        </w:rPr>
        <w:t>XXX-XXXX</w:t>
      </w:r>
      <w:r w:rsidRPr="00617E59">
        <w:t>] if unauthorized persons are present in an exhibit space or if threatening behavior is observed.</w:t>
      </w:r>
    </w:p>
    <w:p w14:paraId="2BAE9E2D" w14:textId="77777777" w:rsidR="00EF3BC7" w:rsidRDefault="00EF3BC7" w:rsidP="00EF3BC7">
      <w:pPr>
        <w:jc w:val="center"/>
        <w:rPr>
          <w:rFonts w:ascii="Times New Roman" w:hAnsi="Times New Roman"/>
        </w:rPr>
      </w:pPr>
    </w:p>
    <w:p w14:paraId="64F6E828" w14:textId="77777777" w:rsidR="00EF3BC7" w:rsidRDefault="00EF3BC7" w:rsidP="00EF3BC7">
      <w:pPr>
        <w:jc w:val="center"/>
        <w:rPr>
          <w:rFonts w:ascii="Times New Roman" w:hAnsi="Times New Roman"/>
        </w:rPr>
      </w:pPr>
    </w:p>
    <w:p w14:paraId="6F352F21" w14:textId="77777777" w:rsidR="00EF3BC7" w:rsidRDefault="00EF3BC7" w:rsidP="00EF3BC7">
      <w:pPr>
        <w:jc w:val="center"/>
        <w:rPr>
          <w:rFonts w:ascii="Times New Roman" w:hAnsi="Times New Roman"/>
        </w:rPr>
      </w:pPr>
    </w:p>
    <w:p w14:paraId="665DF4B4" w14:textId="77777777" w:rsidR="00EF3BC7" w:rsidRDefault="00EF3BC7" w:rsidP="00EF3BC7">
      <w:pPr>
        <w:jc w:val="center"/>
        <w:rPr>
          <w:rFonts w:ascii="Times New Roman" w:hAnsi="Times New Roman"/>
        </w:rPr>
      </w:pPr>
    </w:p>
    <w:p w14:paraId="3D819700" w14:textId="77777777" w:rsidR="00EF3BC7" w:rsidRDefault="00EF3BC7" w:rsidP="00EF3BC7">
      <w:pPr>
        <w:jc w:val="center"/>
        <w:rPr>
          <w:rFonts w:ascii="Times New Roman" w:hAnsi="Times New Roman"/>
        </w:rPr>
      </w:pPr>
    </w:p>
    <w:p w14:paraId="2F8AAD46" w14:textId="77777777" w:rsidR="00EF3BC7" w:rsidRDefault="00EF3BC7" w:rsidP="00EF3BC7">
      <w:pPr>
        <w:jc w:val="center"/>
        <w:rPr>
          <w:rFonts w:ascii="Times New Roman" w:hAnsi="Times New Roman"/>
        </w:rPr>
      </w:pPr>
    </w:p>
    <w:p w14:paraId="76261AD6" w14:textId="77777777" w:rsidR="00EF3BC7" w:rsidRDefault="00EF3BC7" w:rsidP="00EF3BC7">
      <w:pPr>
        <w:jc w:val="center"/>
        <w:rPr>
          <w:rFonts w:ascii="Times New Roman" w:hAnsi="Times New Roman"/>
        </w:rPr>
      </w:pPr>
    </w:p>
    <w:p w14:paraId="2EE07DBA" w14:textId="77777777" w:rsidR="00EF3BC7" w:rsidRDefault="00EF3BC7" w:rsidP="00EF3BC7">
      <w:pPr>
        <w:jc w:val="center"/>
        <w:rPr>
          <w:rFonts w:ascii="Times New Roman" w:hAnsi="Times New Roman"/>
        </w:rPr>
      </w:pPr>
    </w:p>
    <w:p w14:paraId="75441751" w14:textId="77777777" w:rsidR="00EF3BC7" w:rsidRDefault="00EF3BC7" w:rsidP="00EF3BC7">
      <w:pPr>
        <w:jc w:val="center"/>
        <w:rPr>
          <w:rFonts w:ascii="Times New Roman" w:hAnsi="Times New Roman"/>
        </w:rPr>
      </w:pPr>
    </w:p>
    <w:p w14:paraId="16D3CFB1" w14:textId="2FC14012" w:rsidR="004449E3" w:rsidRDefault="00EF3BC7" w:rsidP="00EF3BC7">
      <w:pPr>
        <w:jc w:val="center"/>
      </w:pPr>
      <w:r>
        <w:rPr>
          <w:b/>
          <w:bCs/>
        </w:rPr>
        <w:br/>
      </w:r>
      <w:r>
        <w:rPr>
          <w:b/>
          <w:bCs/>
        </w:rPr>
        <w:br/>
      </w:r>
      <w:r w:rsidRPr="00A414D8">
        <w:rPr>
          <w:b/>
          <w:bCs/>
        </w:rPr>
        <w:t>Figure 14.</w:t>
      </w:r>
      <w:r>
        <w:rPr>
          <w:b/>
          <w:bCs/>
        </w:rPr>
        <w:t>12</w:t>
      </w:r>
      <w:r w:rsidRPr="00A414D8">
        <w:rPr>
          <w:b/>
          <w:bCs/>
        </w:rPr>
        <w:t xml:space="preserve">. </w:t>
      </w:r>
      <w:r>
        <w:rPr>
          <w:b/>
          <w:bCs/>
        </w:rPr>
        <w:t xml:space="preserve">Staff </w:t>
      </w:r>
      <w:r w:rsidRPr="00A414D8">
        <w:rPr>
          <w:b/>
          <w:bCs/>
        </w:rPr>
        <w:t>Protocols for Museum Objects on Exhibit</w:t>
      </w:r>
      <w:r>
        <w:rPr>
          <w:b/>
          <w:bCs/>
        </w:rPr>
        <w:t xml:space="preserve"> (Sample)</w:t>
      </w:r>
    </w:p>
    <w:sectPr w:rsidR="00444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43A"/>
    <w:multiLevelType w:val="hybridMultilevel"/>
    <w:tmpl w:val="1788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F64EC"/>
    <w:multiLevelType w:val="hybridMultilevel"/>
    <w:tmpl w:val="6240AB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A67E6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55472">
    <w:abstractNumId w:val="0"/>
  </w:num>
  <w:num w:numId="2" w16cid:durableId="93390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C7"/>
    <w:rsid w:val="004449E3"/>
    <w:rsid w:val="00BE7CB8"/>
    <w:rsid w:val="00C15273"/>
    <w:rsid w:val="00E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774E"/>
  <w15:chartTrackingRefBased/>
  <w15:docId w15:val="{6F982471-6275-49FB-877A-3CECEAA7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BC7"/>
    <w:pPr>
      <w:widowControl w:val="0"/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BC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Dumler, Amber</dc:creator>
  <cp:keywords/>
  <dc:description/>
  <cp:lastModifiedBy>Dumler, Amber</cp:lastModifiedBy>
  <cp:revision>1</cp:revision>
  <dcterms:created xsi:type="dcterms:W3CDTF">2024-10-09T13:24:00Z</dcterms:created>
  <dcterms:modified xsi:type="dcterms:W3CDTF">2024-10-09T13:27:00Z</dcterms:modified>
</cp:coreProperties>
</file>