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3DF26775" w:rsidR="00206EA9" w:rsidRPr="00761897" w:rsidRDefault="00206EA9" w:rsidP="00761897">
      <w:pPr>
        <w:tabs>
          <w:tab w:val="left" w:pos="5760"/>
          <w:tab w:val="left" w:pos="8640"/>
        </w:tabs>
        <w:ind w:left="2880"/>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B8BB2A9" w14:textId="77777777" w:rsidR="00B93555" w:rsidRDefault="00B93555" w:rsidP="00B9355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OLYMPIC NATIONAL PARK</w:t>
      </w:r>
      <w:r>
        <w:rPr>
          <w:rStyle w:val="normaltextrun"/>
          <w:rFonts w:ascii="Cambria Math" w:hAnsi="Cambria Math" w:cs="Cambria Math"/>
          <w:color w:val="000000"/>
          <w:sz w:val="22"/>
          <w:szCs w:val="22"/>
        </w:rPr>
        <w:t> </w:t>
      </w:r>
      <w:r>
        <w:rPr>
          <w:rStyle w:val="eop"/>
          <w:color w:val="000000"/>
          <w:sz w:val="22"/>
          <w:szCs w:val="22"/>
        </w:rPr>
        <w:t> </w:t>
      </w:r>
    </w:p>
    <w:p w14:paraId="0951B24C" w14:textId="77777777" w:rsidR="00B93555" w:rsidRDefault="00B93555" w:rsidP="00B9355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normaltextrun"/>
          <w:color w:val="000000"/>
          <w:sz w:val="22"/>
          <w:szCs w:val="22"/>
        </w:rPr>
        <w:t> </w:t>
      </w:r>
      <w:r>
        <w:rPr>
          <w:rStyle w:val="eop"/>
          <w:color w:val="000000"/>
          <w:sz w:val="22"/>
          <w:szCs w:val="22"/>
        </w:rPr>
        <w:t> </w:t>
      </w:r>
    </w:p>
    <w:p w14:paraId="1E31CA3B" w14:textId="77777777" w:rsidR="00B93555" w:rsidRDefault="00B93555" w:rsidP="00B9355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SPECIFIC ACTIVITY CONDITIONS</w:t>
      </w:r>
      <w:r>
        <w:rPr>
          <w:rStyle w:val="normaltextrun"/>
          <w:color w:val="000000"/>
          <w:sz w:val="22"/>
          <w:szCs w:val="22"/>
        </w:rPr>
        <w:t> </w:t>
      </w:r>
      <w:r>
        <w:rPr>
          <w:rStyle w:val="eop"/>
          <w:color w:val="000000"/>
          <w:sz w:val="22"/>
          <w:szCs w:val="22"/>
        </w:rPr>
        <w:t> </w:t>
      </w:r>
    </w:p>
    <w:p w14:paraId="7727EAE2"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516ADBCF" w14:textId="77777777" w:rsidR="00B93555" w:rsidRDefault="00B93555" w:rsidP="00B93555">
      <w:pPr>
        <w:pStyle w:val="paragraph"/>
        <w:spacing w:before="0" w:beforeAutospacing="0" w:after="0" w:afterAutospacing="0"/>
        <w:ind w:left="360"/>
        <w:textAlignment w:val="baseline"/>
        <w:rPr>
          <w:rFonts w:ascii="Segoe UI" w:hAnsi="Segoe UI" w:cs="Segoe UI"/>
          <w:sz w:val="18"/>
          <w:szCs w:val="18"/>
        </w:rPr>
      </w:pPr>
      <w:r>
        <w:rPr>
          <w:rStyle w:val="normaltextrun"/>
          <w:color w:val="000000"/>
          <w:sz w:val="22"/>
          <w:szCs w:val="22"/>
        </w:rPr>
        <w:t xml:space="preserve">ACTIVITY: </w:t>
      </w:r>
      <w:r>
        <w:rPr>
          <w:rStyle w:val="normaltextrun"/>
          <w:b/>
          <w:bCs/>
          <w:color w:val="000000"/>
          <w:sz w:val="22"/>
          <w:szCs w:val="22"/>
        </w:rPr>
        <w:t>Guided Mountaineering/Climbing.</w:t>
      </w:r>
      <w:r>
        <w:rPr>
          <w:rStyle w:val="normaltextrun"/>
          <w:color w:val="000000"/>
          <w:sz w:val="22"/>
          <w:szCs w:val="22"/>
        </w:rPr>
        <w:t xml:space="preserve"> THESE CONDITIONS ARE APPLICABLE TO ALL AUTHORIED ACTIVITIES and AREAS LISTED ON THIS AUTHORIZATION.   </w:t>
      </w:r>
      <w:r>
        <w:rPr>
          <w:rStyle w:val="eop"/>
          <w:color w:val="000000"/>
          <w:sz w:val="22"/>
          <w:szCs w:val="22"/>
        </w:rPr>
        <w:t> </w:t>
      </w:r>
    </w:p>
    <w:p w14:paraId="0B7F69D9"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320C4E8C"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1D2E2ADA"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Authorized Services – </w:t>
      </w:r>
      <w:r>
        <w:rPr>
          <w:rStyle w:val="normaltextrun"/>
          <w:color w:val="000000"/>
          <w:sz w:val="22"/>
          <w:szCs w:val="22"/>
        </w:rPr>
        <w:t xml:space="preserve">The commercial activity authorized by this authorization is </w:t>
      </w:r>
      <w:r>
        <w:rPr>
          <w:rStyle w:val="normaltextrun"/>
          <w:b/>
          <w:bCs/>
          <w:color w:val="000000"/>
          <w:sz w:val="22"/>
          <w:szCs w:val="22"/>
        </w:rPr>
        <w:t xml:space="preserve">Guided Mountaineering/Climbing </w:t>
      </w:r>
      <w:r>
        <w:rPr>
          <w:rStyle w:val="normaltextrun"/>
          <w:color w:val="000000"/>
          <w:sz w:val="22"/>
          <w:szCs w:val="22"/>
        </w:rPr>
        <w:t>within authorized areas and on established trails within Olympic National Park. No other commercial activity is permitted. </w:t>
      </w:r>
      <w:r>
        <w:rPr>
          <w:rStyle w:val="eop"/>
          <w:color w:val="000000"/>
          <w:sz w:val="22"/>
          <w:szCs w:val="22"/>
        </w:rPr>
        <w:t> </w:t>
      </w:r>
    </w:p>
    <w:p w14:paraId="0F2EA672"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0BB40E34"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Parking and Loading/Unloading – </w:t>
      </w:r>
      <w:r>
        <w:rPr>
          <w:rStyle w:val="normaltextrun"/>
          <w:color w:val="000000"/>
          <w:sz w:val="22"/>
          <w:szCs w:val="22"/>
        </w:rPr>
        <w:t> </w:t>
      </w:r>
      <w:r>
        <w:rPr>
          <w:rStyle w:val="normaltextrun"/>
          <w:color w:val="000000"/>
        </w:rPr>
        <w:t xml:space="preserve"> All trips will begin and end at designated trails. Vehicles will park in designated parking spaces only.</w:t>
      </w:r>
      <w:r>
        <w:rPr>
          <w:rStyle w:val="eop"/>
          <w:color w:val="000000"/>
        </w:rPr>
        <w:t> </w:t>
      </w:r>
    </w:p>
    <w:p w14:paraId="15918981"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0B54DE93"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Area Use – </w:t>
      </w:r>
      <w:r>
        <w:rPr>
          <w:rStyle w:val="normaltextrun"/>
          <w:color w:val="000000"/>
          <w:sz w:val="22"/>
          <w:szCs w:val="22"/>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color w:val="000000"/>
          <w:sz w:val="22"/>
          <w:szCs w:val="22"/>
        </w:rPr>
        <w:t> </w:t>
      </w:r>
    </w:p>
    <w:p w14:paraId="51EB7688"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512F2409"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Approved Locations/Travel – </w:t>
      </w:r>
      <w:r>
        <w:rPr>
          <w:rStyle w:val="normaltextrun"/>
          <w:color w:val="000000"/>
          <w:sz w:val="22"/>
          <w:szCs w:val="22"/>
        </w:rPr>
        <w:t> </w:t>
      </w:r>
      <w:r>
        <w:rPr>
          <w:rStyle w:val="normaltextrun"/>
          <w:b/>
          <w:bCs/>
          <w:color w:val="000000"/>
        </w:rPr>
        <w:t xml:space="preserve"> Areas of operation and permit availability may be subject to change based on park management decisions to protect wilderness character. </w:t>
      </w:r>
      <w:r>
        <w:rPr>
          <w:rStyle w:val="normaltextrun"/>
          <w:color w:val="000000"/>
        </w:rPr>
        <w:t>This permit does not give exclusive use to any area in the park.  </w:t>
      </w:r>
      <w:r>
        <w:rPr>
          <w:rStyle w:val="normaltextrun"/>
          <w:color w:val="000000"/>
          <w:sz w:val="22"/>
          <w:szCs w:val="22"/>
        </w:rPr>
        <w:t> </w:t>
      </w:r>
      <w:r>
        <w:rPr>
          <w:rStyle w:val="normaltextrun"/>
        </w:rPr>
        <w:t> </w:t>
      </w:r>
      <w:r>
        <w:rPr>
          <w:rStyle w:val="eop"/>
        </w:rPr>
        <w:t> </w:t>
      </w:r>
    </w:p>
    <w:p w14:paraId="188644F0"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720F7297"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Park Entrance Fee – </w:t>
      </w:r>
      <w:r>
        <w:rPr>
          <w:rStyle w:val="eop"/>
          <w:color w:val="000000"/>
          <w:sz w:val="22"/>
          <w:szCs w:val="22"/>
        </w:rPr>
        <w:t> </w:t>
      </w:r>
    </w:p>
    <w:p w14:paraId="55AC0F07" w14:textId="77777777" w:rsidR="00B93555" w:rsidRDefault="00B93555" w:rsidP="00B93555">
      <w:pPr>
        <w:pStyle w:val="paragraph"/>
        <w:numPr>
          <w:ilvl w:val="0"/>
          <w:numId w:val="45"/>
        </w:numPr>
        <w:spacing w:before="0" w:beforeAutospacing="0" w:after="0" w:afterAutospacing="0"/>
        <w:ind w:left="1800" w:firstLine="0"/>
        <w:textAlignment w:val="baseline"/>
        <w:rPr>
          <w:sz w:val="22"/>
          <w:szCs w:val="22"/>
        </w:rPr>
      </w:pPr>
      <w:r>
        <w:rPr>
          <w:rStyle w:val="normaltextrun"/>
          <w:color w:val="212529"/>
          <w:sz w:val="22"/>
          <w:szCs w:val="22"/>
        </w:rPr>
        <w:t>Individuals participating in the activity will pay the individual per-person entrance fee. </w:t>
      </w:r>
      <w:r>
        <w:rPr>
          <w:rStyle w:val="eop"/>
          <w:color w:val="212529"/>
          <w:sz w:val="22"/>
          <w:szCs w:val="22"/>
        </w:rPr>
        <w:t> </w:t>
      </w:r>
    </w:p>
    <w:p w14:paraId="44C96944" w14:textId="77777777" w:rsidR="00B93555" w:rsidRDefault="00B93555" w:rsidP="00B93555">
      <w:pPr>
        <w:pStyle w:val="paragraph"/>
        <w:numPr>
          <w:ilvl w:val="0"/>
          <w:numId w:val="45"/>
        </w:numPr>
        <w:spacing w:before="0" w:beforeAutospacing="0" w:after="0" w:afterAutospacing="0"/>
        <w:ind w:left="1800" w:firstLine="0"/>
        <w:textAlignment w:val="baseline"/>
        <w:rPr>
          <w:sz w:val="22"/>
          <w:szCs w:val="22"/>
        </w:rPr>
      </w:pPr>
      <w:r>
        <w:rPr>
          <w:rStyle w:val="normaltextrun"/>
          <w:color w:val="212529"/>
          <w:sz w:val="22"/>
          <w:szCs w:val="22"/>
        </w:rPr>
        <w:t>Annual and lifetime federal recreational land passes are accepted. These passes are good for the owner(s) of the pass plus three additional adults 16 and over who are part of the same party. </w:t>
      </w:r>
      <w:r>
        <w:rPr>
          <w:rStyle w:val="eop"/>
          <w:color w:val="212529"/>
          <w:sz w:val="22"/>
          <w:szCs w:val="22"/>
        </w:rPr>
        <w:t> </w:t>
      </w:r>
    </w:p>
    <w:p w14:paraId="7DD83ADA" w14:textId="77777777" w:rsidR="00B93555" w:rsidRDefault="00B93555" w:rsidP="00B93555">
      <w:pPr>
        <w:pStyle w:val="paragraph"/>
        <w:numPr>
          <w:ilvl w:val="0"/>
          <w:numId w:val="45"/>
        </w:numPr>
        <w:spacing w:before="0" w:beforeAutospacing="0" w:after="0" w:afterAutospacing="0"/>
        <w:ind w:left="1800" w:firstLine="0"/>
        <w:textAlignment w:val="baseline"/>
        <w:rPr>
          <w:sz w:val="22"/>
          <w:szCs w:val="22"/>
        </w:rPr>
      </w:pPr>
      <w:r>
        <w:rPr>
          <w:rStyle w:val="normaltextrun"/>
          <w:color w:val="212529"/>
          <w:sz w:val="22"/>
          <w:szCs w:val="22"/>
        </w:rPr>
        <w:t>Children under 16 are not charged. </w:t>
      </w:r>
      <w:r>
        <w:rPr>
          <w:rStyle w:val="eop"/>
          <w:color w:val="212529"/>
          <w:sz w:val="22"/>
          <w:szCs w:val="22"/>
        </w:rPr>
        <w:t> </w:t>
      </w:r>
    </w:p>
    <w:p w14:paraId="6B56C5A3" w14:textId="77777777" w:rsidR="00B93555" w:rsidRDefault="00B93555" w:rsidP="00B93555">
      <w:pPr>
        <w:pStyle w:val="paragraph"/>
        <w:numPr>
          <w:ilvl w:val="0"/>
          <w:numId w:val="45"/>
        </w:numPr>
        <w:spacing w:before="0" w:beforeAutospacing="0" w:after="0" w:afterAutospacing="0"/>
        <w:ind w:left="1800" w:firstLine="0"/>
        <w:textAlignment w:val="baseline"/>
        <w:rPr>
          <w:sz w:val="22"/>
          <w:szCs w:val="22"/>
        </w:rPr>
      </w:pPr>
      <w:r>
        <w:rPr>
          <w:rStyle w:val="normaltextrun"/>
          <w:color w:val="212529"/>
          <w:sz w:val="22"/>
          <w:szCs w:val="22"/>
        </w:rPr>
        <w:t>Individuals or groups who have previously paid the entrance fee must show proof of prior payment. </w:t>
      </w:r>
      <w:r>
        <w:rPr>
          <w:rStyle w:val="eop"/>
          <w:color w:val="212529"/>
          <w:sz w:val="22"/>
          <w:szCs w:val="22"/>
        </w:rPr>
        <w:t> </w:t>
      </w:r>
    </w:p>
    <w:p w14:paraId="7AE8F593" w14:textId="77777777" w:rsidR="00B93555" w:rsidRDefault="00B93555" w:rsidP="00B93555">
      <w:pPr>
        <w:pStyle w:val="paragraph"/>
        <w:numPr>
          <w:ilvl w:val="0"/>
          <w:numId w:val="46"/>
        </w:numPr>
        <w:spacing w:before="0" w:beforeAutospacing="0" w:after="0" w:afterAutospacing="0"/>
        <w:ind w:left="1800" w:firstLine="0"/>
        <w:textAlignment w:val="baseline"/>
        <w:rPr>
          <w:sz w:val="22"/>
          <w:szCs w:val="22"/>
        </w:rPr>
      </w:pPr>
      <w:r>
        <w:rPr>
          <w:rStyle w:val="normaltextrun"/>
          <w:color w:val="212529"/>
          <w:sz w:val="22"/>
          <w:szCs w:val="22"/>
        </w:rPr>
        <w:t>Appropriate commercial non-road-based tour fees will be calculated and charged upon entry. The vehicle and driver/guide have free entry into the park. </w:t>
      </w:r>
      <w:r>
        <w:rPr>
          <w:rStyle w:val="eop"/>
          <w:color w:val="212529"/>
          <w:sz w:val="22"/>
          <w:szCs w:val="22"/>
        </w:rPr>
        <w:t> </w:t>
      </w:r>
    </w:p>
    <w:p w14:paraId="5621EFE1" w14:textId="77777777" w:rsidR="00B93555" w:rsidRDefault="00B93555" w:rsidP="00B93555">
      <w:pPr>
        <w:pStyle w:val="paragraph"/>
        <w:numPr>
          <w:ilvl w:val="0"/>
          <w:numId w:val="46"/>
        </w:numPr>
        <w:spacing w:before="0" w:beforeAutospacing="0" w:after="0" w:afterAutospacing="0"/>
        <w:ind w:left="1800" w:firstLine="0"/>
        <w:textAlignment w:val="baseline"/>
        <w:rPr>
          <w:sz w:val="22"/>
          <w:szCs w:val="22"/>
        </w:rPr>
      </w:pPr>
      <w:r>
        <w:rPr>
          <w:rStyle w:val="normaltextrun"/>
          <w:color w:val="212529"/>
          <w:sz w:val="22"/>
          <w:szCs w:val="22"/>
        </w:rPr>
        <w:t>The CUA holder and/or guides may not use personal annual or lifetime federal recreational land passes to gain entry to the park for themselves or their customers when conducting business.</w:t>
      </w:r>
      <w:r>
        <w:rPr>
          <w:rStyle w:val="eop"/>
          <w:color w:val="212529"/>
          <w:sz w:val="22"/>
          <w:szCs w:val="22"/>
        </w:rPr>
        <w:t> </w:t>
      </w:r>
    </w:p>
    <w:p w14:paraId="6EFC5EBB"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212529"/>
          <w:sz w:val="22"/>
          <w:szCs w:val="22"/>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sz w:val="22"/>
          <w:szCs w:val="22"/>
        </w:rPr>
        <w:t> </w:t>
      </w:r>
    </w:p>
    <w:p w14:paraId="62CB1D86"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eop"/>
          <w:color w:val="212529"/>
          <w:sz w:val="22"/>
          <w:szCs w:val="22"/>
        </w:rPr>
        <w:t> </w:t>
      </w:r>
    </w:p>
    <w:p w14:paraId="2538859B"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046A62AE"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normaltextrun"/>
          <w:b/>
          <w:bCs/>
          <w:color w:val="000000"/>
        </w:rPr>
        <w:t xml:space="preserve"> Employee Training and Guiding – </w:t>
      </w:r>
      <w:r>
        <w:rPr>
          <w:rStyle w:val="eop"/>
          <w:color w:val="000000"/>
        </w:rPr>
        <w:t> </w:t>
      </w:r>
    </w:p>
    <w:p w14:paraId="005858C0" w14:textId="77777777" w:rsidR="00B93555" w:rsidRDefault="00B93555" w:rsidP="00B93555">
      <w:pPr>
        <w:pStyle w:val="paragraph"/>
        <w:numPr>
          <w:ilvl w:val="0"/>
          <w:numId w:val="47"/>
        </w:numPr>
        <w:spacing w:before="0" w:beforeAutospacing="0" w:after="0" w:afterAutospacing="0"/>
        <w:ind w:left="1170" w:firstLine="0"/>
        <w:textAlignment w:val="baseline"/>
      </w:pPr>
      <w:r>
        <w:rPr>
          <w:rStyle w:val="normaltextrun"/>
          <w:color w:val="000000"/>
        </w:rPr>
        <w:lastRenderedPageBreak/>
        <w:t>Trips must be led by a designated employee who knows the park rules, regulations, and resources; is knowledgeable of the provisions of this authorization and can provide direction and instruction to participants. </w:t>
      </w:r>
      <w:r>
        <w:rPr>
          <w:rStyle w:val="eop"/>
          <w:color w:val="000000"/>
        </w:rPr>
        <w:t> </w:t>
      </w:r>
    </w:p>
    <w:p w14:paraId="58515F51" w14:textId="77777777" w:rsidR="00B93555" w:rsidRDefault="00B93555" w:rsidP="00B93555">
      <w:pPr>
        <w:pStyle w:val="paragraph"/>
        <w:numPr>
          <w:ilvl w:val="0"/>
          <w:numId w:val="47"/>
        </w:numPr>
        <w:spacing w:before="0" w:beforeAutospacing="0" w:after="0" w:afterAutospacing="0"/>
        <w:ind w:left="1170" w:firstLine="0"/>
        <w:textAlignment w:val="baseline"/>
        <w:rPr>
          <w:rFonts w:ascii="Courier New" w:hAnsi="Courier New" w:cs="Courier New"/>
        </w:rPr>
      </w:pPr>
      <w:r>
        <w:rPr>
          <w:rStyle w:val="normaltextrun"/>
          <w:color w:val="000000"/>
        </w:rPr>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eop"/>
          <w:rFonts w:ascii="Courier New" w:hAnsi="Courier New" w:cs="Courier New"/>
          <w:color w:val="000000"/>
        </w:rPr>
        <w:t> </w:t>
      </w:r>
    </w:p>
    <w:p w14:paraId="44C28EA7" w14:textId="77777777" w:rsidR="00B93555" w:rsidRDefault="00B93555" w:rsidP="00B93555">
      <w:pPr>
        <w:pStyle w:val="paragraph"/>
        <w:numPr>
          <w:ilvl w:val="0"/>
          <w:numId w:val="47"/>
        </w:numPr>
        <w:spacing w:before="0" w:beforeAutospacing="0" w:after="0" w:afterAutospacing="0"/>
        <w:ind w:left="1170" w:firstLine="0"/>
        <w:textAlignment w:val="baseline"/>
        <w:rPr>
          <w:sz w:val="22"/>
          <w:szCs w:val="22"/>
        </w:rPr>
      </w:pPr>
      <w:r>
        <w:rPr>
          <w:rStyle w:val="normaltextrun"/>
          <w:color w:val="000000"/>
          <w:sz w:val="22"/>
          <w:szCs w:val="22"/>
        </w:rPr>
        <w:t>All guides must have previous climbing and guiding experience that is equal in difficulty to the objective of their course or climb.  </w:t>
      </w:r>
      <w:r>
        <w:rPr>
          <w:rStyle w:val="eop"/>
          <w:color w:val="000000"/>
          <w:sz w:val="22"/>
          <w:szCs w:val="22"/>
        </w:rPr>
        <w:t> </w:t>
      </w:r>
    </w:p>
    <w:p w14:paraId="76E777ED" w14:textId="77777777" w:rsidR="00B93555" w:rsidRDefault="00B93555" w:rsidP="00B93555">
      <w:pPr>
        <w:pStyle w:val="paragraph"/>
        <w:numPr>
          <w:ilvl w:val="0"/>
          <w:numId w:val="47"/>
        </w:numPr>
        <w:spacing w:before="0" w:beforeAutospacing="0" w:after="0" w:afterAutospacing="0"/>
        <w:ind w:left="1170" w:firstLine="0"/>
        <w:textAlignment w:val="baseline"/>
        <w:rPr>
          <w:sz w:val="22"/>
          <w:szCs w:val="22"/>
        </w:rPr>
      </w:pPr>
      <w:r>
        <w:rPr>
          <w:rStyle w:val="normaltextrun"/>
          <w:color w:val="000000"/>
          <w:sz w:val="22"/>
          <w:szCs w:val="22"/>
        </w:rPr>
        <w:t>All guides must have previous climbing and guiding experience for the terrain in which they are guiding. IE Glacier, Ice, Rock.</w:t>
      </w:r>
      <w:r>
        <w:rPr>
          <w:rStyle w:val="eop"/>
          <w:color w:val="000000"/>
          <w:sz w:val="22"/>
          <w:szCs w:val="22"/>
        </w:rPr>
        <w:t> </w:t>
      </w:r>
    </w:p>
    <w:p w14:paraId="28F0C871" w14:textId="77777777" w:rsidR="00B93555" w:rsidRDefault="00B93555" w:rsidP="00B93555">
      <w:pPr>
        <w:pStyle w:val="paragraph"/>
        <w:numPr>
          <w:ilvl w:val="0"/>
          <w:numId w:val="48"/>
        </w:numPr>
        <w:spacing w:before="0" w:beforeAutospacing="0" w:after="0" w:afterAutospacing="0"/>
        <w:ind w:left="1170" w:firstLine="0"/>
        <w:textAlignment w:val="baseline"/>
        <w:rPr>
          <w:sz w:val="22"/>
          <w:szCs w:val="22"/>
        </w:rPr>
      </w:pPr>
      <w:r>
        <w:rPr>
          <w:rStyle w:val="normaltextrun"/>
          <w:color w:val="000000"/>
          <w:sz w:val="22"/>
          <w:szCs w:val="22"/>
        </w:rPr>
        <w:t>Prior to any trip, all guides must have successfully completed training that is relevant to the terrain in which they will be working. This training may be industry standard, I.e. AMGA, or company sponsored.</w:t>
      </w:r>
      <w:r>
        <w:rPr>
          <w:rStyle w:val="eop"/>
          <w:color w:val="000000"/>
          <w:sz w:val="22"/>
          <w:szCs w:val="22"/>
        </w:rPr>
        <w:t> </w:t>
      </w:r>
    </w:p>
    <w:p w14:paraId="38466EF1" w14:textId="77777777" w:rsidR="00B93555" w:rsidRDefault="00B93555" w:rsidP="00B93555">
      <w:pPr>
        <w:pStyle w:val="paragraph"/>
        <w:numPr>
          <w:ilvl w:val="0"/>
          <w:numId w:val="48"/>
        </w:numPr>
        <w:spacing w:before="0" w:beforeAutospacing="0" w:after="0" w:afterAutospacing="0"/>
        <w:ind w:left="1170" w:firstLine="0"/>
        <w:textAlignment w:val="baseline"/>
        <w:rPr>
          <w:sz w:val="22"/>
          <w:szCs w:val="22"/>
        </w:rPr>
      </w:pPr>
      <w:r>
        <w:rPr>
          <w:rStyle w:val="normaltextrun"/>
          <w:sz w:val="22"/>
          <w:szCs w:val="22"/>
        </w:rPr>
        <w:t>All guides must have successfully completed a Leave No Trace (LNT) program that meets or exceeds LNT’s Awareness course. At least one owner or employee in the organization must have attended a LNT Master Educator course.</w:t>
      </w:r>
      <w:r>
        <w:rPr>
          <w:rStyle w:val="eop"/>
          <w:sz w:val="22"/>
          <w:szCs w:val="22"/>
        </w:rPr>
        <w:t> </w:t>
      </w:r>
    </w:p>
    <w:p w14:paraId="011AEFDE" w14:textId="77777777" w:rsidR="00B93555" w:rsidRDefault="00B93555" w:rsidP="00B93555">
      <w:pPr>
        <w:pStyle w:val="paragraph"/>
        <w:numPr>
          <w:ilvl w:val="0"/>
          <w:numId w:val="48"/>
        </w:numPr>
        <w:spacing w:before="0" w:beforeAutospacing="0" w:after="0" w:afterAutospacing="0"/>
        <w:ind w:left="1170" w:firstLine="0"/>
        <w:textAlignment w:val="baseline"/>
        <w:rPr>
          <w:sz w:val="22"/>
          <w:szCs w:val="22"/>
        </w:rPr>
      </w:pPr>
      <w:r>
        <w:rPr>
          <w:rStyle w:val="normaltextrun"/>
          <w:sz w:val="22"/>
          <w:szCs w:val="22"/>
        </w:rPr>
        <w:t>All CUA representatives and employees must exercise courtesy and consideration in their dealings with the public and the Park, and will present a neat, clean and otherwise professional personal appearance.</w:t>
      </w:r>
      <w:r>
        <w:rPr>
          <w:rStyle w:val="eop"/>
          <w:sz w:val="22"/>
          <w:szCs w:val="22"/>
        </w:rPr>
        <w:t> </w:t>
      </w:r>
    </w:p>
    <w:p w14:paraId="0170C2BD" w14:textId="77777777" w:rsidR="00B93555" w:rsidRDefault="00B93555" w:rsidP="00B93555">
      <w:pPr>
        <w:pStyle w:val="paragraph"/>
        <w:numPr>
          <w:ilvl w:val="0"/>
          <w:numId w:val="48"/>
        </w:numPr>
        <w:spacing w:before="0" w:beforeAutospacing="0" w:after="0" w:afterAutospacing="0"/>
        <w:ind w:left="1080" w:firstLine="0"/>
        <w:textAlignment w:val="baseline"/>
        <w:rPr>
          <w:sz w:val="22"/>
          <w:szCs w:val="22"/>
        </w:rPr>
      </w:pPr>
      <w:r>
        <w:rPr>
          <w:rStyle w:val="normaltextrun"/>
          <w:sz w:val="22"/>
          <w:szCs w:val="22"/>
        </w:rPr>
        <w:t>All guides, when leading trips through areas of avalanche hazard must have successfully completed an avalanche training course that meets or exceeds the American Avalanche Association’s Recreational Level 2 or Professional Level 1. </w:t>
      </w:r>
      <w:r>
        <w:rPr>
          <w:rStyle w:val="eop"/>
          <w:sz w:val="22"/>
          <w:szCs w:val="22"/>
        </w:rPr>
        <w:t> </w:t>
      </w:r>
    </w:p>
    <w:p w14:paraId="5DEB6AC8" w14:textId="77777777" w:rsidR="00B93555" w:rsidRDefault="00B93555" w:rsidP="00B93555">
      <w:pPr>
        <w:pStyle w:val="paragraph"/>
        <w:numPr>
          <w:ilvl w:val="0"/>
          <w:numId w:val="48"/>
        </w:numPr>
        <w:spacing w:before="0" w:beforeAutospacing="0" w:after="0" w:afterAutospacing="0"/>
        <w:ind w:left="1080" w:firstLine="0"/>
        <w:textAlignment w:val="baseline"/>
        <w:rPr>
          <w:sz w:val="22"/>
          <w:szCs w:val="22"/>
        </w:rPr>
      </w:pPr>
      <w:r>
        <w:rPr>
          <w:rStyle w:val="normaltextrun"/>
          <w:b/>
          <w:bCs/>
          <w:color w:val="000000"/>
        </w:rPr>
        <w:t xml:space="preserve">Olympic National Park takes our visitors safety seriously. Therefore, we urge ALL Guides leading a commercial group to possess a minimum Current Wilderness First Responder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2B6C60BF" w14:textId="77777777" w:rsidR="00B93555" w:rsidRDefault="00B93555" w:rsidP="00B93555">
      <w:pPr>
        <w:pStyle w:val="paragraph"/>
        <w:numPr>
          <w:ilvl w:val="0"/>
          <w:numId w:val="49"/>
        </w:numPr>
        <w:spacing w:before="0" w:beforeAutospacing="0" w:after="0" w:afterAutospacing="0"/>
        <w:ind w:left="1080" w:firstLine="0"/>
        <w:textAlignment w:val="baseline"/>
      </w:pPr>
      <w:r>
        <w:rPr>
          <w:rStyle w:val="normaltextrun"/>
          <w:color w:val="000000"/>
        </w:rPr>
        <w:t>Guides must be at least 18 years of age.</w:t>
      </w:r>
      <w:r>
        <w:rPr>
          <w:rStyle w:val="eop"/>
          <w:color w:val="000000"/>
        </w:rPr>
        <w:t> </w:t>
      </w:r>
    </w:p>
    <w:p w14:paraId="77C841B2" w14:textId="77777777" w:rsidR="00B93555" w:rsidRDefault="00B93555" w:rsidP="00B93555">
      <w:pPr>
        <w:pStyle w:val="paragraph"/>
        <w:numPr>
          <w:ilvl w:val="0"/>
          <w:numId w:val="49"/>
        </w:numPr>
        <w:spacing w:before="0" w:beforeAutospacing="0" w:after="0" w:afterAutospacing="0"/>
        <w:ind w:left="1080" w:firstLine="0"/>
        <w:textAlignment w:val="baseline"/>
      </w:pPr>
      <w:r>
        <w:rPr>
          <w:rStyle w:val="normaltextrun"/>
          <w:color w:val="000000"/>
        </w:rPr>
        <w:t> Guides must provide interpretation of the park to clients that reflect the park’s interpretive themes, significance statements and Leave No Trace.</w:t>
      </w:r>
      <w:r>
        <w:rPr>
          <w:rStyle w:val="eop"/>
          <w:color w:val="000000"/>
        </w:rPr>
        <w:t> </w:t>
      </w:r>
    </w:p>
    <w:p w14:paraId="588D4059" w14:textId="77777777" w:rsidR="00B93555" w:rsidRDefault="00B93555" w:rsidP="00B93555">
      <w:pPr>
        <w:pStyle w:val="paragraph"/>
        <w:numPr>
          <w:ilvl w:val="0"/>
          <w:numId w:val="49"/>
        </w:numPr>
        <w:spacing w:before="0" w:beforeAutospacing="0" w:after="0" w:afterAutospacing="0"/>
        <w:ind w:left="1080" w:firstLine="0"/>
        <w:textAlignment w:val="baseline"/>
      </w:pPr>
      <w:r>
        <w:rPr>
          <w:rStyle w:val="normaltextrun"/>
          <w:color w:val="000000"/>
        </w:rPr>
        <w:t> Guides must be trained in risk management principles, such as Leave No Trace, park rules and regulations, and in the requirements of the CUA conditions. </w:t>
      </w:r>
      <w:r>
        <w:rPr>
          <w:rStyle w:val="eop"/>
          <w:color w:val="000000"/>
        </w:rPr>
        <w:t> </w:t>
      </w:r>
    </w:p>
    <w:p w14:paraId="3DEA8BBF" w14:textId="77777777" w:rsidR="00B93555" w:rsidRDefault="00B93555" w:rsidP="00B93555">
      <w:pPr>
        <w:pStyle w:val="paragraph"/>
        <w:numPr>
          <w:ilvl w:val="0"/>
          <w:numId w:val="49"/>
        </w:numPr>
        <w:spacing w:before="0" w:beforeAutospacing="0" w:after="0" w:afterAutospacing="0"/>
        <w:ind w:left="1080" w:firstLine="0"/>
        <w:textAlignment w:val="baseline"/>
      </w:pPr>
      <w:r>
        <w:rPr>
          <w:rStyle w:val="normaltextrun"/>
          <w:color w:val="000000"/>
        </w:rPr>
        <w:t>Guides MUST carry a copy of the following and are required to present it up on request:</w:t>
      </w:r>
      <w:r>
        <w:rPr>
          <w:rStyle w:val="eop"/>
          <w:color w:val="000000"/>
        </w:rPr>
        <w:t> </w:t>
      </w:r>
    </w:p>
    <w:p w14:paraId="69FFEA10" w14:textId="77777777" w:rsidR="00B93555" w:rsidRDefault="00B93555" w:rsidP="00B93555">
      <w:pPr>
        <w:pStyle w:val="paragraph"/>
        <w:numPr>
          <w:ilvl w:val="0"/>
          <w:numId w:val="50"/>
        </w:numPr>
        <w:spacing w:before="0" w:beforeAutospacing="0" w:after="0" w:afterAutospacing="0"/>
        <w:ind w:left="1800" w:firstLine="0"/>
        <w:textAlignment w:val="baseline"/>
      </w:pPr>
      <w:r>
        <w:rPr>
          <w:rStyle w:val="normaltextrun"/>
          <w:color w:val="000000"/>
        </w:rPr>
        <w:t>Current WFR/First Aid and CPR Certification</w:t>
      </w:r>
      <w:r>
        <w:rPr>
          <w:rStyle w:val="eop"/>
          <w:color w:val="000000"/>
        </w:rPr>
        <w:t> </w:t>
      </w:r>
    </w:p>
    <w:p w14:paraId="19C35330" w14:textId="77777777" w:rsidR="00B93555" w:rsidRDefault="00B93555" w:rsidP="00B93555">
      <w:pPr>
        <w:pStyle w:val="paragraph"/>
        <w:numPr>
          <w:ilvl w:val="0"/>
          <w:numId w:val="51"/>
        </w:numPr>
        <w:spacing w:before="0" w:beforeAutospacing="0" w:after="0" w:afterAutospacing="0"/>
        <w:ind w:left="1800" w:firstLine="0"/>
        <w:textAlignment w:val="baseline"/>
      </w:pPr>
      <w:r>
        <w:rPr>
          <w:rStyle w:val="normaltextrun"/>
          <w:color w:val="000000"/>
        </w:rPr>
        <w:t>Valid, signed and current CUA</w:t>
      </w:r>
      <w:r>
        <w:rPr>
          <w:rStyle w:val="eop"/>
          <w:color w:val="000000"/>
        </w:rPr>
        <w:t> </w:t>
      </w:r>
    </w:p>
    <w:p w14:paraId="755B1713" w14:textId="77777777" w:rsidR="00B93555" w:rsidRDefault="00B93555" w:rsidP="00B93555">
      <w:pPr>
        <w:pStyle w:val="paragraph"/>
        <w:numPr>
          <w:ilvl w:val="0"/>
          <w:numId w:val="51"/>
        </w:numPr>
        <w:spacing w:before="0" w:beforeAutospacing="0" w:after="0" w:afterAutospacing="0"/>
        <w:ind w:left="1800" w:firstLine="0"/>
        <w:textAlignment w:val="baseline"/>
      </w:pPr>
      <w:r>
        <w:rPr>
          <w:rStyle w:val="normaltextrun"/>
          <w:color w:val="000000"/>
        </w:rPr>
        <w:t>Food Handlers Certification</w:t>
      </w:r>
      <w:r>
        <w:rPr>
          <w:rStyle w:val="eop"/>
          <w:color w:val="000000"/>
        </w:rPr>
        <w:t> </w:t>
      </w:r>
    </w:p>
    <w:p w14:paraId="42912E69" w14:textId="77777777" w:rsidR="00B93555" w:rsidRDefault="00B93555" w:rsidP="00B93555">
      <w:pPr>
        <w:pStyle w:val="paragraph"/>
        <w:numPr>
          <w:ilvl w:val="0"/>
          <w:numId w:val="51"/>
        </w:numPr>
        <w:spacing w:before="0" w:beforeAutospacing="0" w:after="0" w:afterAutospacing="0"/>
        <w:ind w:left="1800" w:firstLine="0"/>
        <w:textAlignment w:val="baseline"/>
      </w:pPr>
      <w:r>
        <w:rPr>
          <w:rStyle w:val="normaltextrun"/>
          <w:color w:val="000000"/>
        </w:rPr>
        <w:t>Backcountry Permits</w:t>
      </w:r>
      <w:r>
        <w:rPr>
          <w:rStyle w:val="eop"/>
          <w:color w:val="000000"/>
        </w:rPr>
        <w:t> </w:t>
      </w:r>
    </w:p>
    <w:p w14:paraId="56AE4B62" w14:textId="77777777" w:rsidR="00B93555" w:rsidRDefault="00B93555" w:rsidP="00B9355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8ED540"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Group Size – </w:t>
      </w:r>
      <w:r>
        <w:rPr>
          <w:rStyle w:val="normaltextrun"/>
          <w:color w:val="000000"/>
          <w:sz w:val="22"/>
          <w:szCs w:val="22"/>
        </w:rPr>
        <w:t>Each wilderness (backcountry) trip will be accompanied by one staff member for each three visitors, with a maximum group size of 12 persons, which includes the staff. </w:t>
      </w:r>
      <w:r>
        <w:rPr>
          <w:rStyle w:val="eop"/>
          <w:color w:val="000000"/>
          <w:sz w:val="22"/>
          <w:szCs w:val="22"/>
        </w:rPr>
        <w:t> </w:t>
      </w:r>
    </w:p>
    <w:p w14:paraId="3D97F29C"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No clients will be left alone in technical terrain. If a client must be left in non-technical terrain, they must have two-way communication with the group leader. </w:t>
      </w:r>
      <w:r>
        <w:rPr>
          <w:rStyle w:val="eop"/>
          <w:color w:val="000000"/>
          <w:sz w:val="22"/>
          <w:szCs w:val="22"/>
        </w:rPr>
        <w:t> </w:t>
      </w:r>
    </w:p>
    <w:p w14:paraId="094315FA"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6DAEE059"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Climbing – </w:t>
      </w:r>
      <w:r>
        <w:rPr>
          <w:rStyle w:val="normaltextrun"/>
          <w:color w:val="000000"/>
          <w:sz w:val="22"/>
          <w:szCs w:val="22"/>
        </w:rPr>
        <w:t>The following principles will apply to  </w:t>
      </w:r>
      <w:r>
        <w:rPr>
          <w:rStyle w:val="eop"/>
          <w:color w:val="000000"/>
          <w:sz w:val="22"/>
          <w:szCs w:val="22"/>
        </w:rPr>
        <w:t> </w:t>
      </w:r>
    </w:p>
    <w:p w14:paraId="68E1AFF0" w14:textId="77777777" w:rsidR="00B93555" w:rsidRDefault="00B93555" w:rsidP="00B93555">
      <w:pPr>
        <w:pStyle w:val="paragraph"/>
        <w:numPr>
          <w:ilvl w:val="0"/>
          <w:numId w:val="52"/>
        </w:numPr>
        <w:spacing w:before="0" w:beforeAutospacing="0" w:after="0" w:afterAutospacing="0"/>
        <w:ind w:left="1800" w:firstLine="360"/>
        <w:textAlignment w:val="baseline"/>
        <w:rPr>
          <w:sz w:val="22"/>
          <w:szCs w:val="22"/>
        </w:rPr>
      </w:pPr>
      <w:r>
        <w:rPr>
          <w:rStyle w:val="normaltextrun"/>
          <w:color w:val="000000"/>
          <w:sz w:val="22"/>
          <w:szCs w:val="22"/>
        </w:rPr>
        <w:t> “Clean climbing” techniques will be used when climbing in Olympic National Park.  </w:t>
      </w:r>
      <w:r>
        <w:rPr>
          <w:rStyle w:val="eop"/>
          <w:color w:val="000000"/>
          <w:sz w:val="22"/>
          <w:szCs w:val="22"/>
        </w:rPr>
        <w:t> </w:t>
      </w:r>
    </w:p>
    <w:p w14:paraId="352782E6" w14:textId="77777777" w:rsidR="00B93555" w:rsidRDefault="00B93555" w:rsidP="00B93555">
      <w:pPr>
        <w:pStyle w:val="paragraph"/>
        <w:numPr>
          <w:ilvl w:val="0"/>
          <w:numId w:val="52"/>
        </w:numPr>
        <w:spacing w:before="0" w:beforeAutospacing="0" w:after="0" w:afterAutospacing="0"/>
        <w:ind w:left="1800" w:firstLine="360"/>
        <w:textAlignment w:val="baseline"/>
        <w:rPr>
          <w:sz w:val="22"/>
          <w:szCs w:val="22"/>
        </w:rPr>
      </w:pPr>
      <w:r>
        <w:rPr>
          <w:rStyle w:val="normaltextrun"/>
          <w:color w:val="000000"/>
          <w:sz w:val="22"/>
          <w:szCs w:val="22"/>
        </w:rPr>
        <w:t>The use of motorized equipment (e.g., power drills) is prohibited by the Wilderness Act and federal regulation (36CFR 2.12). Practices such as gluing or chipping holds and damaging or removing vegetation on or at the base of climbing routes are prohibited (36 CFR 2.1). Entering a closed area and/or disturbing wildlife nesting, breeding or other activities is prohibited. (36CFR 1.5, 36CFR 2.2) These are regulations developed to protect all national park areas, including wilderness.  </w:t>
      </w:r>
      <w:r>
        <w:rPr>
          <w:rStyle w:val="eop"/>
          <w:color w:val="000000"/>
          <w:sz w:val="22"/>
          <w:szCs w:val="22"/>
        </w:rPr>
        <w:t> </w:t>
      </w:r>
    </w:p>
    <w:p w14:paraId="47D57CEF" w14:textId="77777777" w:rsidR="00B93555" w:rsidRDefault="00B93555" w:rsidP="00B93555">
      <w:pPr>
        <w:pStyle w:val="paragraph"/>
        <w:numPr>
          <w:ilvl w:val="0"/>
          <w:numId w:val="53"/>
        </w:numPr>
        <w:spacing w:before="0" w:beforeAutospacing="0" w:after="0" w:afterAutospacing="0"/>
        <w:ind w:left="1800" w:firstLine="360"/>
        <w:textAlignment w:val="baseline"/>
        <w:rPr>
          <w:sz w:val="22"/>
          <w:szCs w:val="22"/>
        </w:rPr>
      </w:pPr>
      <w:r>
        <w:rPr>
          <w:rStyle w:val="normaltextrun"/>
          <w:color w:val="000000"/>
          <w:sz w:val="22"/>
          <w:szCs w:val="22"/>
        </w:rPr>
        <w:t>Climbers are required to adopt “Leave No Trace” principles and practices, to include packing out all track and human waste when on or in the vicinity of climbing routes. </w:t>
      </w:r>
      <w:r>
        <w:rPr>
          <w:rStyle w:val="eop"/>
          <w:color w:val="000000"/>
          <w:sz w:val="22"/>
          <w:szCs w:val="22"/>
        </w:rPr>
        <w:t> </w:t>
      </w:r>
    </w:p>
    <w:p w14:paraId="6426AC52" w14:textId="77777777" w:rsidR="00B93555" w:rsidRDefault="00B93555" w:rsidP="00B93555">
      <w:pPr>
        <w:pStyle w:val="paragraph"/>
        <w:numPr>
          <w:ilvl w:val="0"/>
          <w:numId w:val="53"/>
        </w:numPr>
        <w:spacing w:before="0" w:beforeAutospacing="0" w:after="0" w:afterAutospacing="0"/>
        <w:ind w:left="1800" w:firstLine="360"/>
        <w:textAlignment w:val="baseline"/>
        <w:rPr>
          <w:sz w:val="22"/>
          <w:szCs w:val="22"/>
        </w:rPr>
      </w:pPr>
      <w:r>
        <w:rPr>
          <w:rStyle w:val="normaltextrun"/>
          <w:color w:val="000000"/>
          <w:sz w:val="22"/>
          <w:szCs w:val="22"/>
        </w:rPr>
        <w:lastRenderedPageBreak/>
        <w:t xml:space="preserve">Fixed anchors must </w:t>
      </w:r>
      <w:proofErr w:type="gramStart"/>
      <w:r>
        <w:rPr>
          <w:rStyle w:val="advancedproofingissue"/>
          <w:color w:val="000000"/>
          <w:sz w:val="22"/>
          <w:szCs w:val="22"/>
        </w:rPr>
        <w:t>be in compliance with</w:t>
      </w:r>
      <w:proofErr w:type="gramEnd"/>
      <w:r>
        <w:rPr>
          <w:rStyle w:val="normaltextrun"/>
          <w:color w:val="000000"/>
          <w:sz w:val="22"/>
          <w:szCs w:val="22"/>
        </w:rPr>
        <w:t xml:space="preserve"> NPS Reference Manual 41.</w:t>
      </w:r>
      <w:r>
        <w:rPr>
          <w:rStyle w:val="eop"/>
          <w:color w:val="000000"/>
          <w:sz w:val="22"/>
          <w:szCs w:val="22"/>
        </w:rPr>
        <w:t> </w:t>
      </w:r>
    </w:p>
    <w:p w14:paraId="3AADBB47"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35F66571"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489E60F0"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Camping – Camping is authorized only within designated campsites and may not exceed the group size limits. </w:t>
      </w:r>
      <w:r>
        <w:rPr>
          <w:rStyle w:val="normaltextrun"/>
          <w:color w:val="000000"/>
          <w:sz w:val="22"/>
          <w:szCs w:val="22"/>
        </w:rPr>
        <w:t> </w:t>
      </w:r>
      <w:r>
        <w:rPr>
          <w:rStyle w:val="eop"/>
          <w:color w:val="000000"/>
          <w:sz w:val="22"/>
          <w:szCs w:val="22"/>
        </w:rPr>
        <w:t> </w:t>
      </w:r>
    </w:p>
    <w:p w14:paraId="7EF9BC90"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23007AD5"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Food Storage – </w:t>
      </w:r>
      <w:r>
        <w:rPr>
          <w:rStyle w:val="normaltextrun"/>
          <w:sz w:val="22"/>
          <w:szCs w:val="22"/>
        </w:rPr>
        <w:t xml:space="preserve">All of Olympic National Park is designated as a secure food storage area. All food, garbage, and scented items must be properly stored at all times. Proper food storage methods are addressed at </w:t>
      </w:r>
      <w:hyperlink r:id="rId12"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 Packers transporting food and other scented items for groups must fulfill food storage requirements until the load is transferred to the group receiving it. </w:t>
      </w:r>
      <w:r>
        <w:rPr>
          <w:rStyle w:val="eop"/>
          <w:sz w:val="22"/>
          <w:szCs w:val="22"/>
        </w:rPr>
        <w:t> </w:t>
      </w:r>
    </w:p>
    <w:p w14:paraId="647511AC"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A33DA95" w14:textId="77777777" w:rsidR="00B93555" w:rsidRDefault="00B93555" w:rsidP="00B93555">
      <w:pPr>
        <w:pStyle w:val="paragraph"/>
        <w:numPr>
          <w:ilvl w:val="0"/>
          <w:numId w:val="54"/>
        </w:numPr>
        <w:spacing w:before="0" w:beforeAutospacing="0" w:after="0" w:afterAutospacing="0"/>
        <w:ind w:left="1530" w:firstLine="0"/>
        <w:textAlignment w:val="baseline"/>
        <w:rPr>
          <w:sz w:val="22"/>
          <w:szCs w:val="22"/>
        </w:rPr>
      </w:pPr>
      <w:r>
        <w:rPr>
          <w:rStyle w:val="normaltextrun"/>
          <w:sz w:val="22"/>
          <w:szCs w:val="22"/>
        </w:rPr>
        <w:t>All areas of Olympic National Park must use park approved animal resistant food containers (bear canisters). Animal resistant food containers are the only authorized food storage method.</w:t>
      </w:r>
      <w:r>
        <w:rPr>
          <w:rStyle w:val="eop"/>
          <w:sz w:val="22"/>
          <w:szCs w:val="22"/>
        </w:rPr>
        <w:t> </w:t>
      </w:r>
    </w:p>
    <w:p w14:paraId="62D88E32" w14:textId="0B9445CD" w:rsidR="00B93555" w:rsidRPr="00B93555" w:rsidRDefault="00B93555" w:rsidP="00B93555">
      <w:pPr>
        <w:pStyle w:val="paragraph"/>
        <w:numPr>
          <w:ilvl w:val="0"/>
          <w:numId w:val="54"/>
        </w:numPr>
        <w:spacing w:before="0" w:beforeAutospacing="0" w:after="0" w:afterAutospacing="0"/>
        <w:ind w:left="1530" w:firstLine="0"/>
        <w:textAlignment w:val="baseline"/>
        <w:rPr>
          <w:sz w:val="22"/>
          <w:szCs w:val="22"/>
        </w:rPr>
      </w:pPr>
      <w:r>
        <w:rPr>
          <w:rStyle w:val="normaltextrun"/>
          <w:sz w:val="22"/>
          <w:szCs w:val="22"/>
        </w:rPr>
        <w:t>CUA holders are urged to use their own, park approved, bear canisters for clients. </w:t>
      </w:r>
      <w:r>
        <w:rPr>
          <w:rStyle w:val="eop"/>
          <w:sz w:val="22"/>
          <w:szCs w:val="22"/>
        </w:rPr>
        <w:t> </w:t>
      </w:r>
      <w:r w:rsidRPr="00B93555">
        <w:rPr>
          <w:rStyle w:val="normaltextrun"/>
          <w:color w:val="000000"/>
          <w:sz w:val="22"/>
          <w:szCs w:val="22"/>
        </w:rPr>
        <w:t> </w:t>
      </w:r>
      <w:r w:rsidRPr="00B93555">
        <w:rPr>
          <w:rStyle w:val="eop"/>
          <w:color w:val="000000"/>
          <w:sz w:val="22"/>
          <w:szCs w:val="22"/>
        </w:rPr>
        <w:t> </w:t>
      </w:r>
    </w:p>
    <w:p w14:paraId="28D3F07A"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65BD49C4"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Caches Prohibited - </w:t>
      </w:r>
      <w:r>
        <w:rPr>
          <w:rStyle w:val="normaltextrun"/>
          <w:color w:val="000000"/>
          <w:sz w:val="22"/>
          <w:szCs w:val="22"/>
        </w:rPr>
        <w:t>Equipment or food caches (items left unattended for more than 24 hours) are prohibited within Olympic National Park. </w:t>
      </w:r>
      <w:r>
        <w:rPr>
          <w:rStyle w:val="eop"/>
          <w:color w:val="000000"/>
          <w:sz w:val="22"/>
          <w:szCs w:val="22"/>
        </w:rPr>
        <w:t> </w:t>
      </w:r>
    </w:p>
    <w:p w14:paraId="29C3CF0D"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57EB004F"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Itinerary – </w:t>
      </w:r>
      <w:r>
        <w:rPr>
          <w:rStyle w:val="normaltextrun"/>
          <w:color w:val="000000"/>
          <w:sz w:val="22"/>
          <w:szCs w:val="22"/>
        </w:rPr>
        <w:t xml:space="preserve">Approved backpacking itinerary, route, and campsites will be carried with this CUA. This CUA has been conditionally approved based on the attached itinerary. </w:t>
      </w:r>
      <w:r>
        <w:rPr>
          <w:rStyle w:val="normaltextrun"/>
          <w:b/>
          <w:bCs/>
          <w:color w:val="000000"/>
          <w:sz w:val="22"/>
          <w:szCs w:val="22"/>
        </w:rPr>
        <w:t xml:space="preserve">ALL Backcountry permits must be booked using an official email address from the CUA holder. </w:t>
      </w:r>
      <w:r>
        <w:rPr>
          <w:rStyle w:val="normaltextrun"/>
          <w:color w:val="000000"/>
          <w:sz w:val="22"/>
          <w:szCs w:val="22"/>
        </w:rPr>
        <w:t>Failure to comply could result in a delay in permit issuance and cost recovery fees for administrative time.</w:t>
      </w:r>
      <w:r>
        <w:rPr>
          <w:rStyle w:val="eop"/>
          <w:color w:val="000000"/>
          <w:sz w:val="22"/>
          <w:szCs w:val="22"/>
        </w:rPr>
        <w:t> </w:t>
      </w:r>
    </w:p>
    <w:p w14:paraId="6D77C7B0"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2734A7D8" w14:textId="77777777" w:rsidR="00B93555" w:rsidRDefault="00B93555" w:rsidP="00B9355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Violations – </w:t>
      </w:r>
      <w:r>
        <w:rPr>
          <w:rStyle w:val="normaltextrun"/>
          <w:color w:val="000000"/>
          <w:sz w:val="22"/>
          <w:szCs w:val="22"/>
        </w:rPr>
        <w:t>Violations of park regulations or the terms of this permit may result in the suspension of privileges granted by this permit and could lead to appropriate fines or citations, as well as suspension or revocation. </w:t>
      </w:r>
      <w:r>
        <w:rPr>
          <w:rStyle w:val="eop"/>
          <w:color w:val="000000"/>
          <w:sz w:val="22"/>
          <w:szCs w:val="22"/>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lastRenderedPageBreak/>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w:t>
      </w:r>
      <w:r w:rsidRPr="00373CE9">
        <w:rPr>
          <w:rFonts w:ascii="Times New Roman" w:hAnsi="Times New Roman"/>
          <w:sz w:val="22"/>
          <w:szCs w:val="22"/>
        </w:rPr>
        <w:lastRenderedPageBreak/>
        <w:t xml:space="preserve">months in advance of end of the itinerary at </w:t>
      </w:r>
      <w:hyperlink r:id="rId13"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3F368282"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29398A0C" w14:textId="1F71B984" w:rsidR="00180ABF" w:rsidRDefault="00180ABF"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761C5158" w14:textId="77777777" w:rsidR="00180ABF" w:rsidRPr="00D1729D" w:rsidRDefault="00180ABF" w:rsidP="00180ABF">
      <w:pPr>
        <w:pStyle w:val="Default"/>
        <w:jc w:val="center"/>
        <w:rPr>
          <w:b/>
          <w:bCs/>
          <w:sz w:val="22"/>
          <w:szCs w:val="22"/>
        </w:rPr>
      </w:pPr>
      <w:r w:rsidRPr="00D1729D">
        <w:rPr>
          <w:b/>
          <w:bCs/>
          <w:sz w:val="22"/>
          <w:szCs w:val="22"/>
        </w:rPr>
        <w:t xml:space="preserve">APPENDIX </w:t>
      </w:r>
      <w:r>
        <w:rPr>
          <w:b/>
          <w:bCs/>
          <w:sz w:val="22"/>
          <w:szCs w:val="22"/>
        </w:rPr>
        <w:t>C</w:t>
      </w:r>
    </w:p>
    <w:p w14:paraId="376994DB" w14:textId="77777777" w:rsidR="00180ABF" w:rsidRPr="00D1729D" w:rsidRDefault="00180ABF" w:rsidP="00180ABF">
      <w:pPr>
        <w:pStyle w:val="Default"/>
        <w:tabs>
          <w:tab w:val="left" w:pos="450"/>
        </w:tabs>
        <w:jc w:val="center"/>
        <w:rPr>
          <w:b/>
          <w:sz w:val="22"/>
          <w:szCs w:val="22"/>
        </w:rPr>
      </w:pPr>
      <w:r w:rsidRPr="00D1729D">
        <w:rPr>
          <w:b/>
          <w:sz w:val="22"/>
          <w:szCs w:val="22"/>
        </w:rPr>
        <w:t>OLYMPIC NATIONAL PARK</w:t>
      </w:r>
    </w:p>
    <w:p w14:paraId="68806102" w14:textId="77777777" w:rsidR="00180ABF" w:rsidRPr="00D1729D" w:rsidRDefault="00180ABF" w:rsidP="00180ABF">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2016868F" w14:textId="77777777" w:rsidR="00180ABF" w:rsidRDefault="00180ABF" w:rsidP="00180ABF">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1B34E6F4" w14:textId="77777777" w:rsidR="00180ABF" w:rsidRDefault="00180ABF" w:rsidP="00180ABF">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578CF1A9"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1FC420"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5"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3EB3D066"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134EAB8E"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4C181989"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3988A64" w14:textId="77777777" w:rsidR="00180ABF" w:rsidRDefault="00180ABF" w:rsidP="00180ABF">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6" w:tgtFrame="_blank" w:history="1">
        <w:r>
          <w:rPr>
            <w:rStyle w:val="normaltextrun"/>
            <w:color w:val="0563C1"/>
            <w:sz w:val="22"/>
            <w:szCs w:val="22"/>
            <w:u w:val="single"/>
          </w:rPr>
          <w:t>https://www.recreation.gov/permits/4098362</w:t>
        </w:r>
      </w:hyperlink>
      <w:r>
        <w:rPr>
          <w:rStyle w:val="normaltextrun"/>
          <w:sz w:val="22"/>
          <w:szCs w:val="22"/>
        </w:rPr>
        <w:t>. These reservations must be made under the permit holder’s email address tied to their CUA account. Contact the Wilderness 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1E01EE34"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B1C0C7E"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0E18222E"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EE40179"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1C1952BB"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878642"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74365FE6"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509F729"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7"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4A5BBC6E"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3C58AE50"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3124118C" w14:textId="77777777" w:rsidR="00180ABF" w:rsidRDefault="00180ABF" w:rsidP="00180ABF">
      <w:pPr>
        <w:pStyle w:val="paragraph"/>
        <w:numPr>
          <w:ilvl w:val="0"/>
          <w:numId w:val="5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4FC20392" w14:textId="77777777" w:rsidR="00180ABF" w:rsidRDefault="00180ABF" w:rsidP="00180ABF">
      <w:pPr>
        <w:pStyle w:val="paragraph"/>
        <w:numPr>
          <w:ilvl w:val="0"/>
          <w:numId w:val="5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610FDE77"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D660AF"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1347F12B"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FBBF0F" w14:textId="77777777" w:rsidR="00180ABF" w:rsidRDefault="00180ABF" w:rsidP="00180ABF">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59DD8461"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22C6697"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1C68712B"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DCA4EF1"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054368F8"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61E977D"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5EA63C06"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599310"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496BA155"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1190F86"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797552C1"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4F4B678"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5B08D2EA" w14:textId="77777777" w:rsidR="00180ABF" w:rsidRDefault="00180ABF" w:rsidP="00180ABF">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C90331F" w14:textId="77777777" w:rsidR="00180ABF" w:rsidRPr="00373CE9" w:rsidRDefault="00180ABF" w:rsidP="00180ABF">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68E6B78B" w14:textId="77777777" w:rsidR="00180ABF" w:rsidRPr="00373CE9" w:rsidRDefault="00180ABF"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180ABF" w:rsidRPr="00373CE9" w:rsidSect="00557A78">
      <w:headerReference w:type="default" r:id="rId18"/>
      <w:footerReference w:type="even" r:id="rId19"/>
      <w:footerReference w:type="default" r:id="rId20"/>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021C3"/>
    <w:multiLevelType w:val="multilevel"/>
    <w:tmpl w:val="D0EA2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0270B"/>
    <w:multiLevelType w:val="multilevel"/>
    <w:tmpl w:val="0FE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43C18"/>
    <w:multiLevelType w:val="multilevel"/>
    <w:tmpl w:val="5B880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D10E1F"/>
    <w:multiLevelType w:val="multilevel"/>
    <w:tmpl w:val="C50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5E260C"/>
    <w:multiLevelType w:val="multilevel"/>
    <w:tmpl w:val="9D4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88B4446"/>
    <w:multiLevelType w:val="multilevel"/>
    <w:tmpl w:val="C86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C13A3F"/>
    <w:multiLevelType w:val="multilevel"/>
    <w:tmpl w:val="89A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116B1"/>
    <w:multiLevelType w:val="multilevel"/>
    <w:tmpl w:val="786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DF225F"/>
    <w:multiLevelType w:val="multilevel"/>
    <w:tmpl w:val="9C3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6B26FF"/>
    <w:multiLevelType w:val="multilevel"/>
    <w:tmpl w:val="5F60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8"/>
  </w:num>
  <w:num w:numId="2" w16cid:durableId="1044595231">
    <w:abstractNumId w:val="5"/>
  </w:num>
  <w:num w:numId="3" w16cid:durableId="1143035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6"/>
  </w:num>
  <w:num w:numId="5" w16cid:durableId="1650283351">
    <w:abstractNumId w:val="31"/>
  </w:num>
  <w:num w:numId="6" w16cid:durableId="1829590821">
    <w:abstractNumId w:val="49"/>
  </w:num>
  <w:num w:numId="7" w16cid:durableId="1840464018">
    <w:abstractNumId w:val="50"/>
  </w:num>
  <w:num w:numId="8" w16cid:durableId="1611205342">
    <w:abstractNumId w:val="14"/>
  </w:num>
  <w:num w:numId="9" w16cid:durableId="704065288">
    <w:abstractNumId w:val="7"/>
  </w:num>
  <w:num w:numId="10" w16cid:durableId="352614656">
    <w:abstractNumId w:val="4"/>
  </w:num>
  <w:num w:numId="11" w16cid:durableId="1347947018">
    <w:abstractNumId w:val="53"/>
  </w:num>
  <w:num w:numId="12" w16cid:durableId="1076512986">
    <w:abstractNumId w:val="52"/>
  </w:num>
  <w:num w:numId="13" w16cid:durableId="391929252">
    <w:abstractNumId w:val="38"/>
  </w:num>
  <w:num w:numId="14" w16cid:durableId="361371263">
    <w:abstractNumId w:val="0"/>
  </w:num>
  <w:num w:numId="15" w16cid:durableId="1231228299">
    <w:abstractNumId w:val="27"/>
  </w:num>
  <w:num w:numId="16" w16cid:durableId="977228674">
    <w:abstractNumId w:val="3"/>
  </w:num>
  <w:num w:numId="17" w16cid:durableId="2053072273">
    <w:abstractNumId w:val="28"/>
  </w:num>
  <w:num w:numId="18" w16cid:durableId="738016706">
    <w:abstractNumId w:val="42"/>
  </w:num>
  <w:num w:numId="19" w16cid:durableId="226305088">
    <w:abstractNumId w:val="33"/>
  </w:num>
  <w:num w:numId="20" w16cid:durableId="1773696335">
    <w:abstractNumId w:val="43"/>
  </w:num>
  <w:num w:numId="21" w16cid:durableId="559560246">
    <w:abstractNumId w:val="23"/>
  </w:num>
  <w:num w:numId="22" w16cid:durableId="1664430194">
    <w:abstractNumId w:val="24"/>
  </w:num>
  <w:num w:numId="23" w16cid:durableId="952128111">
    <w:abstractNumId w:val="25"/>
  </w:num>
  <w:num w:numId="24" w16cid:durableId="974258233">
    <w:abstractNumId w:val="32"/>
  </w:num>
  <w:num w:numId="25" w16cid:durableId="828063717">
    <w:abstractNumId w:val="44"/>
  </w:num>
  <w:num w:numId="26" w16cid:durableId="1736735773">
    <w:abstractNumId w:val="37"/>
  </w:num>
  <w:num w:numId="27" w16cid:durableId="1169708115">
    <w:abstractNumId w:val="2"/>
  </w:num>
  <w:num w:numId="28" w16cid:durableId="1222786121">
    <w:abstractNumId w:val="45"/>
  </w:num>
  <w:num w:numId="29" w16cid:durableId="267855704">
    <w:abstractNumId w:val="12"/>
  </w:num>
  <w:num w:numId="30" w16cid:durableId="40638923">
    <w:abstractNumId w:val="47"/>
  </w:num>
  <w:num w:numId="31" w16cid:durableId="617640617">
    <w:abstractNumId w:val="26"/>
  </w:num>
  <w:num w:numId="32" w16cid:durableId="236408189">
    <w:abstractNumId w:val="17"/>
  </w:num>
  <w:num w:numId="33" w16cid:durableId="1896894260">
    <w:abstractNumId w:val="39"/>
  </w:num>
  <w:num w:numId="34" w16cid:durableId="1085415107">
    <w:abstractNumId w:val="10"/>
  </w:num>
  <w:num w:numId="35" w16cid:durableId="1693023581">
    <w:abstractNumId w:val="21"/>
  </w:num>
  <w:num w:numId="36" w16cid:durableId="678655029">
    <w:abstractNumId w:val="15"/>
  </w:num>
  <w:num w:numId="37" w16cid:durableId="1917471926">
    <w:abstractNumId w:val="54"/>
  </w:num>
  <w:num w:numId="38" w16cid:durableId="937715198">
    <w:abstractNumId w:val="1"/>
  </w:num>
  <w:num w:numId="39" w16cid:durableId="80687216">
    <w:abstractNumId w:val="13"/>
  </w:num>
  <w:num w:numId="40" w16cid:durableId="655840982">
    <w:abstractNumId w:val="40"/>
  </w:num>
  <w:num w:numId="41" w16cid:durableId="452136219">
    <w:abstractNumId w:val="16"/>
  </w:num>
  <w:num w:numId="42" w16cid:durableId="1809543908">
    <w:abstractNumId w:val="18"/>
  </w:num>
  <w:num w:numId="43" w16cid:durableId="1970545797">
    <w:abstractNumId w:val="51"/>
  </w:num>
  <w:num w:numId="44" w16cid:durableId="1256010331">
    <w:abstractNumId w:val="19"/>
  </w:num>
  <w:num w:numId="45" w16cid:durableId="1892110587">
    <w:abstractNumId w:val="34"/>
  </w:num>
  <w:num w:numId="46" w16cid:durableId="1631284014">
    <w:abstractNumId w:val="46"/>
  </w:num>
  <w:num w:numId="47" w16cid:durableId="589779095">
    <w:abstractNumId w:val="48"/>
  </w:num>
  <w:num w:numId="48" w16cid:durableId="33892130">
    <w:abstractNumId w:val="22"/>
  </w:num>
  <w:num w:numId="49" w16cid:durableId="49545495">
    <w:abstractNumId w:val="9"/>
  </w:num>
  <w:num w:numId="50" w16cid:durableId="2079132239">
    <w:abstractNumId w:val="11"/>
  </w:num>
  <w:num w:numId="51" w16cid:durableId="915017287">
    <w:abstractNumId w:val="6"/>
  </w:num>
  <w:num w:numId="52" w16cid:durableId="1995914666">
    <w:abstractNumId w:val="20"/>
  </w:num>
  <w:num w:numId="53" w16cid:durableId="1438940401">
    <w:abstractNumId w:val="35"/>
  </w:num>
  <w:num w:numId="54" w16cid:durableId="647439917">
    <w:abstractNumId w:val="41"/>
  </w:num>
  <w:num w:numId="55" w16cid:durableId="1857033807">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ABF"/>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2194"/>
    <w:rsid w:val="00625DFD"/>
    <w:rsid w:val="00656586"/>
    <w:rsid w:val="0066396E"/>
    <w:rsid w:val="00667883"/>
    <w:rsid w:val="00670F7C"/>
    <w:rsid w:val="006726B8"/>
    <w:rsid w:val="006A0F08"/>
    <w:rsid w:val="006A15CC"/>
    <w:rsid w:val="006A2B8E"/>
    <w:rsid w:val="006A7163"/>
    <w:rsid w:val="006C15B9"/>
    <w:rsid w:val="006C4156"/>
    <w:rsid w:val="006E1D97"/>
    <w:rsid w:val="006E58C1"/>
    <w:rsid w:val="006F2B64"/>
    <w:rsid w:val="006F69F2"/>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616E6"/>
    <w:rsid w:val="008745E5"/>
    <w:rsid w:val="00875BB4"/>
    <w:rsid w:val="00876E1E"/>
    <w:rsid w:val="00885322"/>
    <w:rsid w:val="008947CA"/>
    <w:rsid w:val="008B7599"/>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B0C7F"/>
    <w:rsid w:val="00CB3941"/>
    <w:rsid w:val="00CC5F4D"/>
    <w:rsid w:val="00CD65AB"/>
    <w:rsid w:val="00D01B3C"/>
    <w:rsid w:val="00D06507"/>
    <w:rsid w:val="00D1729D"/>
    <w:rsid w:val="00D2510B"/>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41C81"/>
    <w:rsid w:val="00F51507"/>
    <w:rsid w:val="00F575FA"/>
    <w:rsid w:val="00F65187"/>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18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permits/409836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ps.gov/olym/planyourvisit/wilderness-food-storage.htm" TargetMode="External"/><Relationship Id="rId17" Type="http://schemas.openxmlformats.org/officeDocument/2006/relationships/hyperlink" Target="http://www.nps.gov/olym/planyourvisit/wilderness-food-storage.htm" TargetMode="External"/><Relationship Id="rId2" Type="http://schemas.openxmlformats.org/officeDocument/2006/relationships/customXml" Target="../customXml/item2.xml"/><Relationship Id="rId16" Type="http://schemas.openxmlformats.org/officeDocument/2006/relationships/hyperlink" Target="https://www.recreation.gov/permits/4098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www.nps.gov/olym/planyourvisit/guiding-in-the-park.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6050</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2025-09-04T13:36:00Z</dcterms:created>
  <dcterms:modified xsi:type="dcterms:W3CDTF">2025-09-04T13:36:00Z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