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59"/>
        <w:jc w:val="center"/>
        <w:rPr>
          <w:rFonts w:asciiTheme="minorHAnsi" w:hAnsiTheme="minorHAnsi"/>
          <w:color w:val="595959" w:themeColor="text1" w:themeTint="A6"/>
          <w:sz w:val="56"/>
          <w:szCs w:val="56"/>
        </w:rPr>
      </w:pPr>
      <w:r>
        <w:rPr>
          <w:rFonts w:asciiTheme="minorHAnsi" w:hAnsiTheme="minorHAnsi"/>
          <w:color w:val="595959" w:themeColor="text1" w:themeTint="A6"/>
          <w:sz w:val="56"/>
          <w:szCs w:val="56"/>
        </w:rPr>
        <w:t>Hard Copy Submittal Review Process Guideline with Flowchart</w:t>
      </w:r>
    </w:p>
    <w:p>
      <w:pPr>
        <w:spacing w:after="400"/>
        <w:jc w:val="center"/>
        <w:rPr>
          <w:rFonts w:asciiTheme="minorHAnsi" w:hAnsi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/>
          <w:color w:val="595959" w:themeColor="text1" w:themeTint="A6"/>
          <w:sz w:val="18"/>
          <w:szCs w:val="18"/>
        </w:rPr>
        <w:t>National Park Service (NPS) - Denver Service Center (DSC) | 8-18-17</w:t>
      </w:r>
    </w:p>
    <w:p>
      <w:pPr>
        <w:pStyle w:val="BodyText"/>
        <w:spacing w:after="120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Use this guideline to ensure a timely review of submittals. A flowchart followed with step-by-step details are provided.</w:t>
      </w:r>
    </w:p>
    <w:p>
      <w:pPr>
        <w:pStyle w:val="BodyText"/>
        <w:spacing w:after="520"/>
        <w:ind w:left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ACRONYMS used in this guideline: </w:t>
      </w:r>
      <w:r>
        <w:rPr>
          <w:rFonts w:asciiTheme="minorHAnsi" w:hAnsiTheme="minorHAnsi"/>
          <w:b/>
          <w:i/>
        </w:rPr>
        <w:t>A/E</w:t>
      </w:r>
      <w:r>
        <w:rPr>
          <w:rFonts w:asciiTheme="minorHAnsi" w:hAnsiTheme="minorHAnsi"/>
          <w:i/>
        </w:rPr>
        <w:t xml:space="preserve">: Architect/Engineer, </w:t>
      </w:r>
      <w:r>
        <w:rPr>
          <w:rFonts w:asciiTheme="minorHAnsi" w:hAnsiTheme="minorHAnsi"/>
          <w:b/>
          <w:i/>
        </w:rPr>
        <w:t>CMR</w:t>
      </w:r>
      <w:r>
        <w:rPr>
          <w:rFonts w:asciiTheme="minorHAnsi" w:hAnsiTheme="minorHAnsi"/>
          <w:i/>
        </w:rPr>
        <w:t>: Construction Management Representative,</w:t>
      </w:r>
      <w:r>
        <w:rPr>
          <w:rFonts w:asciiTheme="minorHAnsi" w:hAnsiTheme="minorHAnsi"/>
          <w:b/>
          <w:i/>
        </w:rPr>
        <w:t xml:space="preserve"> CO</w:t>
      </w:r>
      <w:r>
        <w:rPr>
          <w:rFonts w:asciiTheme="minorHAnsi" w:hAnsiTheme="minorHAnsi"/>
          <w:i/>
        </w:rPr>
        <w:t xml:space="preserve">: Contracting Officer (DSC), </w:t>
      </w:r>
      <w:r>
        <w:rPr>
          <w:rFonts w:asciiTheme="minorHAnsi" w:hAnsiTheme="minorHAnsi"/>
          <w:b/>
          <w:i/>
        </w:rPr>
        <w:t>COR</w:t>
      </w:r>
      <w:r>
        <w:rPr>
          <w:rFonts w:asciiTheme="minorHAnsi" w:hAnsiTheme="minorHAnsi"/>
          <w:i/>
        </w:rPr>
        <w:t>: Contracting Officer Representative (DSC)</w:t>
      </w:r>
    </w:p>
    <w:p>
      <w:pPr>
        <w:pStyle w:val="BodyText"/>
        <w:spacing w:after="160"/>
        <w:ind w:left="0"/>
        <w:jc w:val="center"/>
        <w:rPr>
          <w:rFonts w:asciiTheme="minorHAnsi" w:hAnsiTheme="minorHAnsi"/>
          <w:i/>
          <w:sz w:val="16"/>
          <w:szCs w:val="16"/>
        </w:rPr>
        <w:sectPr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>
            <wp:extent cx="7964424" cy="4654296"/>
            <wp:effectExtent l="0" t="0" r="0" b="0"/>
            <wp:docPr id="1" name="Picture 1" descr="Flowchart that describes the hard-copy submittal review process. Following this flowchart are step-by-step details of this process." title="Flowchart that describes the hard-copy submittal review process. Following this flowchart are step-by-step details of this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64424" cy="46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92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920"/>
        <w:gridCol w:w="1709"/>
      </w:tblGrid>
      <w:tr>
        <w:trPr>
          <w:trHeight w:hRule="exact" w:val="638"/>
          <w:tblHeader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sz w:val="18"/>
                <w:szCs w:val="18"/>
              </w:rPr>
              <w:t>Responsible</w:t>
            </w:r>
          </w:p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Party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Hard Copy Submittal Review Process</w:t>
            </w:r>
          </w:p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Steps and Description of Tasks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Time Schedule</w:t>
            </w:r>
          </w:p>
        </w:tc>
      </w:tr>
      <w:tr>
        <w:trPr>
          <w:trHeight w:hRule="exact" w:val="5856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Contractor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3"/>
              </w:numPr>
              <w:spacing w:before="46"/>
              <w:ind w:right="10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 specified in Specification Section 01 33 23, use CM-16 Transmittal Form. Keep an interim copy until comments are returned. Complete and submit each specification section. Do not combine different specification sections on same CM-16 Transmittal Form. Within a specification section, list each item requiring approval separately;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specify action or informational submittal; assign sequential item number; and reference applicable paragraph in Part 2 of specifications. Use CM-16 Transmittal Form Continuation sheet as necessary. Number each CM-16 Transmittal Form in accordance with the pre-assigned submittal numbers separately furnished. The procedure below will return at least 1 set of shop drawings, manufacturer’s data, or sample, along with completed CM-16 Transmittal Form containing original signatures and any attached comments to the Contractor. In some cases, samples will be reviewed in field.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Shop Drawings:  </w:t>
            </w:r>
            <w:r>
              <w:rPr>
                <w:rFonts w:asciiTheme="minorHAnsi" w:hAnsiTheme="minorHAnsi"/>
                <w:sz w:val="18"/>
                <w:szCs w:val="18"/>
              </w:rPr>
              <w:t>Submit 4 sets.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Manufacturers’ Catalog Cut Sheets, Data Sheets, and Similar: </w:t>
            </w:r>
            <w:r>
              <w:rPr>
                <w:rFonts w:asciiTheme="minorHAnsi" w:hAnsiTheme="minorHAnsi"/>
                <w:sz w:val="18"/>
                <w:szCs w:val="18"/>
              </w:rPr>
              <w:t>Submit 4 copies.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Samples: </w:t>
            </w:r>
            <w:r>
              <w:rPr>
                <w:rFonts w:asciiTheme="minorHAnsi" w:hAnsiTheme="minorHAnsi"/>
                <w:sz w:val="18"/>
                <w:szCs w:val="18"/>
              </w:rPr>
              <w:t>Submit 4.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Identification Information: </w:t>
            </w:r>
            <w:r>
              <w:rPr>
                <w:rFonts w:asciiTheme="minorHAnsi" w:hAnsiTheme="minorHAnsi"/>
                <w:sz w:val="18"/>
                <w:szCs w:val="18"/>
              </w:rPr>
              <w:t>Submittals must have identification (examples in parenthesis) including Park Name (BIBE), PMIS Number (014820), Project Title (Chisos Basin Water System), Contract Number (1443N1211050903), Transmittal Number (pre-assigned), Date Submitted, Contractor’s Name, and Subcontractor’s or Supplier’s Name.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Certification: </w:t>
            </w:r>
            <w:r>
              <w:rPr>
                <w:rFonts w:asciiTheme="minorHAnsi" w:hAnsiTheme="minorHAnsi"/>
                <w:sz w:val="18"/>
                <w:szCs w:val="18"/>
              </w:rPr>
              <w:t>Sign and date CM-16 Transmittal Form to certify submittal is accurate, complete, and in compliance with contract requirements (Far 52.236-21.)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Error or Incomplete/Disapproved Transmittal: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Correct and complete. Resubmit and use the same transmittal number with an added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alpha suffix (e.g. 12A)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8"/>
              <w:ind w:left="68" w:right="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Contract Specification Section 01 33 23 states Contractor provides transmittals a specific number of calendar days before materials or equipment are ordered, delivered, or installed.</w:t>
            </w:r>
          </w:p>
        </w:tc>
      </w:tr>
      <w:tr>
        <w:trPr>
          <w:trHeight w:hRule="exact" w:val="3786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CO, COR,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or CMR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3"/>
              </w:numPr>
              <w:spacing w:before="46" w:line="242" w:lineRule="auto"/>
              <w:ind w:right="102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 CM-16 Transmittal Form and data.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Error or Incomplete/Disapproved Transmittal: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Return entire transmittal for correction.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Complete Transmittal: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Enter dates transmittal received and forwarded to A/E Designer. Record these dates on the CM-17 Submittal Tracking Form.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Keep copy of CM-16 Transmittal Form and data, shop drawing, or sample for interim use until receipt of review comments.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 A/E Designer: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Forward original CM-16 Transmittal Form; 3 copies of manufacturer’s data sheets and/or shop drawings; and 2 samples for technical review and recommendation. Expedite CM-16 Transmittal Form to arrive timely and safely.</w:t>
            </w:r>
          </w:p>
          <w:p>
            <w:pPr>
              <w:pStyle w:val="TableParagraph"/>
              <w:spacing w:before="120"/>
              <w:ind w:left="446" w:right="101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 COR: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Fax or email scanned copy of CM-16 Transmittal Form if necessary. Track status on submittals. Work with project team to expedite processing. Submittals on critical path go through accelerated review process to accommodate project schedule.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7"/>
              <w:ind w:left="74" w:right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Maximum 3 days</w:t>
            </w:r>
          </w:p>
        </w:tc>
      </w:tr>
      <w:tr>
        <w:trPr>
          <w:trHeight w:hRule="exact" w:val="4596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192" w:right="19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A/E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3"/>
              </w:numPr>
              <w:spacing w:before="46"/>
              <w:ind w:right="10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Receive submittal and log. Route to appropriate Designer or Subconsultant for technical review. 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120"/>
              <w:ind w:left="801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Technical Review and Analysis: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Ensures equipment and/or materials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satisfy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contract and 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perform as intended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Designer makes notes during review process. Preferred method for review comments: Consolidate 8½ by 11 sheets and attach to CM-16 Transmittal Form and cross-reference review comments with sequential item number listed on CM-16 Transmittal Form. If more efficient, make notations directly on each set of submitted data. In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Review Comments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cross-reference attached review comments sheet or reference notations made directly on the submittal data, as applicable. Select appropriate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NPS Submittal Action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for each item submitted. Sign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Recommended By </w:t>
            </w:r>
            <w:r>
              <w:rPr>
                <w:rFonts w:asciiTheme="minorHAnsi" w:hAnsiTheme="minorHAnsi"/>
                <w:sz w:val="18"/>
                <w:szCs w:val="18"/>
              </w:rPr>
              <w:t>field and enter job title and date.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120"/>
              <w:ind w:left="801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Subconsultant reviewing, proceed to C. Otherwise proceed to D.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120"/>
              <w:ind w:left="801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Subconsultant: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Return original CM-16 Transmittal Form, comment sheets, and submittal data to Prime Consultant. 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120"/>
              <w:ind w:left="801"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Prime Consultant: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 quality control check. Make copy of CM-16 Transmittal Form with attached review comment sheets and retain 1 set of submittal</w:t>
            </w:r>
            <w:r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data. Send remaining 2 copies of submittal data and completed CM-16 Transmittal Forms with comment sheets to DSC.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Expedite to </w:t>
            </w:r>
            <w:r>
              <w:rPr>
                <w:rFonts w:asciiTheme="minorHAnsi" w:hAnsiTheme="minorHAnsi"/>
                <w:sz w:val="18"/>
                <w:szCs w:val="18"/>
              </w:rPr>
              <w:t>arrive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timely</w:t>
            </w:r>
            <w:r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and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safely.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7"/>
              <w:ind w:left="74" w:right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Maximum 3 days</w:t>
            </w:r>
          </w:p>
        </w:tc>
      </w:tr>
      <w:tr>
        <w:trPr>
          <w:trHeight w:hRule="exact" w:val="2616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3"/>
              </w:numPr>
              <w:spacing w:before="48"/>
              <w:ind w:right="1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Receive submittal and log. CO and COR reviews concurs, signs, and dates in the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Action By </w:t>
            </w:r>
            <w:r>
              <w:rPr>
                <w:rFonts w:asciiTheme="minorHAnsi" w:hAnsiTheme="minorHAnsi"/>
                <w:sz w:val="18"/>
                <w:szCs w:val="18"/>
              </w:rPr>
              <w:t>section. Keep completed CM-16 Transmittal Form, comment sheets, and complete set of submittal data/sample for DSC file.</w:t>
            </w:r>
          </w:p>
          <w:p>
            <w:pPr>
              <w:pStyle w:val="TableParagraph"/>
              <w:spacing w:before="120"/>
              <w:ind w:left="446" w:righ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not in concurrence, contact A/E Designer and discuss resolution. If agreement is reached, edit review comments, sign, and date CM-16 Transmittal Form. Coordinate with A/E to add additional notations made on the submittal data or shop drawings to A/E’s record copy. A/E is responsible for coordinating with Subconsultants. Return original completed CM-16 Transmittal Form with attached comments and remaining submittal sets/samples to CMR. Transmittal logged out of office. Expedite Transmittal to arrive timely and safely.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7"/>
              <w:ind w:left="74" w:right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Maximum 12 days</w:t>
            </w:r>
          </w:p>
        </w:tc>
      </w:tr>
      <w:tr>
        <w:trPr>
          <w:trHeight w:hRule="exact" w:val="3597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-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 or CMR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47"/>
              <w:ind w:right="120" w:hanging="2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Enter submittal log date</w:t>
            </w:r>
            <w:r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at bottom</w:t>
            </w:r>
            <w:r>
              <w:rPr>
                <w:rFonts w:asciiTheme="minorHAnsi" w:hAnsiTheme="minorHAnsi"/>
                <w:spacing w:val="-36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of CM-16 Transmittal Form and on CM-17 Submittal Tracking Form. Transfer notations on submittal data/shop drawings to set of data retained at beginning of process or make 1 copy of completed CM-16 Transmittal Form with</w:t>
            </w:r>
            <w:r>
              <w:rPr>
                <w:rFonts w:asciiTheme="minorHAnsi" w:hAnsiTheme="minorHAnsi"/>
                <w:spacing w:val="-2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comments.</w:t>
            </w:r>
          </w:p>
          <w:p>
            <w:pPr>
              <w:pStyle w:val="TableParagraph"/>
              <w:ind w:left="3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Distribute as follows:</w:t>
            </w:r>
          </w:p>
          <w:p>
            <w:pPr>
              <w:pStyle w:val="TableParagraph"/>
              <w:numPr>
                <w:ilvl w:val="1"/>
                <w:numId w:val="1"/>
              </w:numPr>
              <w:ind w:left="801" w:right="118" w:hanging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Fax A/E Designer final, with edits by COR, completed and signed CM-16 Transmittal Form and comments sheets.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A/E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Designer </w:t>
            </w:r>
            <w:r>
              <w:rPr>
                <w:rFonts w:asciiTheme="minorHAnsi" w:hAnsiTheme="minorHAnsi"/>
                <w:sz w:val="18"/>
                <w:szCs w:val="18"/>
              </w:rPr>
              <w:t>is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responsible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for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coordinating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r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Subconsultants.</w:t>
            </w:r>
          </w:p>
          <w:p>
            <w:pPr>
              <w:pStyle w:val="TableParagraph"/>
              <w:numPr>
                <w:ilvl w:val="1"/>
                <w:numId w:val="1"/>
              </w:numPr>
              <w:ind w:left="801" w:right="253" w:hanging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Send (or hand carry) original final CM-16 Transmittal Form, comment sheets, and submittal data/sample to Contractor. Log date submittal returned to</w:t>
            </w:r>
            <w:r>
              <w:rPr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Contractor.</w:t>
            </w:r>
          </w:p>
          <w:p>
            <w:pPr>
              <w:pStyle w:val="TableParagraph"/>
              <w:numPr>
                <w:ilvl w:val="1"/>
                <w:numId w:val="1"/>
              </w:numPr>
              <w:ind w:left="801" w:right="332" w:hanging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Utilize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copy</w:t>
            </w:r>
            <w:r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submittal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data/sample retained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by</w:t>
            </w:r>
            <w:r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CMR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at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beginning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process and CM-16 Transmittal Form with comments sheets as a working set during construction.</w:t>
            </w:r>
          </w:p>
          <w:p>
            <w:pPr>
              <w:pStyle w:val="TableParagraph"/>
              <w:numPr>
                <w:ilvl w:val="1"/>
                <w:numId w:val="1"/>
              </w:numPr>
              <w:ind w:left="801" w:right="533" w:hanging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Provide file set to Park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Maintenance Division at completion.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8"/>
              <w:ind w:left="72" w:right="8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Maximum 3 days</w:t>
            </w:r>
          </w:p>
        </w:tc>
      </w:tr>
      <w:tr>
        <w:trPr>
          <w:trHeight w:hRule="exact" w:val="1347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Contractor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346" w:right="115" w:hanging="26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Make appropriate number of copies of submittal data and/or shop drawings and CM-16 Transmittal Form with comment sheets and distribute to Contractor, Subcontractor, and Suppliers.</w:t>
            </w:r>
          </w:p>
          <w:p>
            <w:pPr>
              <w:pStyle w:val="TableParagraph"/>
              <w:tabs>
                <w:tab w:val="left" w:pos="353"/>
              </w:tabs>
              <w:spacing w:before="120"/>
              <w:ind w:left="346" w:right="11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the submittal is not approved, return to step 1 above.</w:t>
            </w:r>
            <w:bookmarkStart w:id="0" w:name="_GoBack"/>
            <w:bookmarkEnd w:id="0"/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8"/>
              <w:ind w:left="72" w:right="8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Maximum 3 days</w:t>
            </w:r>
          </w:p>
        </w:tc>
      </w:tr>
    </w:tbl>
    <w:p/>
    <w:sectPr>
      <w:pgSz w:w="12240" w:h="15840"/>
      <w:pgMar w:top="720" w:right="720" w:bottom="50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360"/>
        <w:tab w:val="right" w:pos="10800"/>
      </w:tabs>
      <w:ind w:right="360"/>
      <w:jc w:val="center"/>
      <w:rPr>
        <w:rFonts w:asciiTheme="minorHAnsi" w:hAnsiTheme="minorHAnsi"/>
        <w:color w:val="262626" w:themeColor="text1" w:themeTint="D9"/>
        <w:sz w:val="16"/>
        <w:szCs w:val="16"/>
      </w:rPr>
    </w:pPr>
    <w:r>
      <w:rPr>
        <w:rFonts w:asciiTheme="minorHAnsi" w:hAnsiTheme="minorHAnsi"/>
        <w:color w:val="262626" w:themeColor="text1" w:themeTint="D9"/>
        <w:sz w:val="16"/>
        <w:szCs w:val="16"/>
      </w:rPr>
      <w:t xml:space="preserve">NPS DSC Hard Copy Submittal Review Process Guideline with Flowchart, 8-18-17 | </w:t>
    </w:r>
    <w:r>
      <w:rPr>
        <w:rFonts w:asciiTheme="minorHAnsi" w:hAnsiTheme="minorHAnsi"/>
        <w:color w:val="262626" w:themeColor="text1" w:themeTint="D9"/>
        <w:sz w:val="18"/>
        <w:szCs w:val="18"/>
      </w:rPr>
      <w:t xml:space="preserve">page </w:t>
    </w:r>
    <w:r>
      <w:rPr>
        <w:rFonts w:asciiTheme="minorHAnsi" w:hAnsiTheme="minorHAnsi"/>
        <w:color w:val="262626" w:themeColor="text1" w:themeTint="D9"/>
        <w:sz w:val="18"/>
        <w:szCs w:val="18"/>
      </w:rPr>
      <w:fldChar w:fldCharType="begin"/>
    </w:r>
    <w:r>
      <w:rPr>
        <w:rFonts w:asciiTheme="minorHAnsi" w:hAnsiTheme="minorHAnsi"/>
        <w:color w:val="262626" w:themeColor="text1" w:themeTint="D9"/>
        <w:sz w:val="18"/>
        <w:szCs w:val="18"/>
      </w:rPr>
      <w:instrText xml:space="preserve"> PAGE  \* Arabic  \* MERGEFORMAT </w:instrText>
    </w:r>
    <w:r>
      <w:rPr>
        <w:rFonts w:asciiTheme="minorHAnsi" w:hAnsiTheme="minorHAnsi"/>
        <w:color w:val="262626" w:themeColor="text1" w:themeTint="D9"/>
        <w:sz w:val="18"/>
        <w:szCs w:val="18"/>
      </w:rPr>
      <w:fldChar w:fldCharType="separate"/>
    </w:r>
    <w:r>
      <w:rPr>
        <w:rFonts w:asciiTheme="minorHAnsi" w:hAnsiTheme="minorHAnsi"/>
        <w:noProof/>
        <w:color w:val="262626" w:themeColor="text1" w:themeTint="D9"/>
        <w:sz w:val="18"/>
        <w:szCs w:val="18"/>
      </w:rPr>
      <w:t>1</w:t>
    </w:r>
    <w:r>
      <w:rPr>
        <w:rFonts w:asciiTheme="minorHAnsi" w:hAnsiTheme="minorHAnsi"/>
        <w:color w:val="262626" w:themeColor="text1" w:themeTint="D9"/>
        <w:sz w:val="18"/>
        <w:szCs w:val="18"/>
      </w:rPr>
      <w:fldChar w:fldCharType="end"/>
    </w:r>
    <w:r>
      <w:rPr>
        <w:rFonts w:asciiTheme="minorHAnsi" w:hAnsiTheme="minorHAnsi"/>
        <w:color w:val="262626" w:themeColor="text1" w:themeTint="D9"/>
        <w:sz w:val="18"/>
        <w:szCs w:val="18"/>
      </w:rPr>
      <w:t xml:space="preserve"> of </w:t>
    </w:r>
    <w:r>
      <w:rPr>
        <w:rFonts w:asciiTheme="minorHAnsi" w:hAnsiTheme="minorHAnsi"/>
        <w:color w:val="262626" w:themeColor="text1" w:themeTint="D9"/>
        <w:sz w:val="18"/>
        <w:szCs w:val="18"/>
      </w:rPr>
      <w:fldChar w:fldCharType="begin"/>
    </w:r>
    <w:r>
      <w:rPr>
        <w:rFonts w:asciiTheme="minorHAnsi" w:hAnsiTheme="minorHAnsi"/>
        <w:color w:val="262626" w:themeColor="text1" w:themeTint="D9"/>
        <w:sz w:val="18"/>
        <w:szCs w:val="18"/>
      </w:rPr>
      <w:instrText xml:space="preserve"> NUMPAGES  \* Arabic  \* MERGEFORMAT </w:instrText>
    </w:r>
    <w:r>
      <w:rPr>
        <w:rFonts w:asciiTheme="minorHAnsi" w:hAnsiTheme="minorHAnsi"/>
        <w:color w:val="262626" w:themeColor="text1" w:themeTint="D9"/>
        <w:sz w:val="18"/>
        <w:szCs w:val="18"/>
      </w:rPr>
      <w:fldChar w:fldCharType="separate"/>
    </w:r>
    <w:r>
      <w:rPr>
        <w:rFonts w:asciiTheme="minorHAnsi" w:hAnsiTheme="minorHAnsi"/>
        <w:noProof/>
        <w:color w:val="262626" w:themeColor="text1" w:themeTint="D9"/>
        <w:sz w:val="18"/>
        <w:szCs w:val="18"/>
      </w:rPr>
      <w:t>3</w:t>
    </w:r>
    <w:r>
      <w:rPr>
        <w:rFonts w:asciiTheme="minorHAnsi" w:hAnsiTheme="minorHAnsi"/>
        <w:color w:val="262626" w:themeColor="text1" w:themeTint="D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C47"/>
    <w:multiLevelType w:val="hybridMultilevel"/>
    <w:tmpl w:val="DF0EAE7E"/>
    <w:lvl w:ilvl="0" w:tplc="656086E4">
      <w:start w:val="1"/>
      <w:numFmt w:val="decimal"/>
      <w:lvlText w:val="%1."/>
      <w:lvlJc w:val="left"/>
      <w:pPr>
        <w:ind w:left="443" w:hanging="360"/>
      </w:pPr>
      <w:rPr>
        <w:rFonts w:hint="default"/>
        <w:strike w:val="0"/>
      </w:rPr>
    </w:lvl>
    <w:lvl w:ilvl="1" w:tplc="5C14BF78">
      <w:start w:val="1"/>
      <w:numFmt w:val="upperLetter"/>
      <w:lvlText w:val="%2."/>
      <w:lvlJc w:val="left"/>
      <w:pPr>
        <w:ind w:left="1163" w:hanging="360"/>
      </w:pPr>
      <w:rPr>
        <w:rFonts w:asciiTheme="minorHAnsi" w:eastAsia="Times New Roman" w:hAnsiTheme="minorHAnsi" w:cs="Times New Roman" w:hint="default"/>
        <w:spacing w:val="-3"/>
        <w:w w:val="99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41D37949"/>
    <w:multiLevelType w:val="hybridMultilevel"/>
    <w:tmpl w:val="8C229D7E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>
    <w:nsid w:val="747B75D2"/>
    <w:multiLevelType w:val="hybridMultilevel"/>
    <w:tmpl w:val="0FE28D78"/>
    <w:lvl w:ilvl="0" w:tplc="BF48E692">
      <w:start w:val="2"/>
      <w:numFmt w:val="upperLetter"/>
      <w:lvlText w:val="%1."/>
      <w:lvlJc w:val="left"/>
      <w:pPr>
        <w:ind w:left="352" w:hanging="269"/>
      </w:pPr>
      <w:rPr>
        <w:rFonts w:asciiTheme="minorHAnsi" w:eastAsia="Times New Roman" w:hAnsiTheme="minorHAnsi" w:cs="Times New Roman" w:hint="default"/>
        <w:spacing w:val="0"/>
        <w:w w:val="99"/>
        <w:sz w:val="20"/>
        <w:szCs w:val="20"/>
      </w:rPr>
    </w:lvl>
    <w:lvl w:ilvl="1" w:tplc="14D6C8F0">
      <w:numFmt w:val="bullet"/>
      <w:lvlText w:val="•"/>
      <w:lvlJc w:val="left"/>
      <w:pPr>
        <w:ind w:left="1114" w:hanging="269"/>
      </w:pPr>
      <w:rPr>
        <w:rFonts w:hint="default"/>
      </w:rPr>
    </w:lvl>
    <w:lvl w:ilvl="2" w:tplc="13446F32">
      <w:numFmt w:val="bullet"/>
      <w:lvlText w:val="•"/>
      <w:lvlJc w:val="left"/>
      <w:pPr>
        <w:ind w:left="1869" w:hanging="269"/>
      </w:pPr>
      <w:rPr>
        <w:rFonts w:hint="default"/>
      </w:rPr>
    </w:lvl>
    <w:lvl w:ilvl="3" w:tplc="3A58B630">
      <w:numFmt w:val="bullet"/>
      <w:lvlText w:val="•"/>
      <w:lvlJc w:val="left"/>
      <w:pPr>
        <w:ind w:left="2623" w:hanging="269"/>
      </w:pPr>
      <w:rPr>
        <w:rFonts w:hint="default"/>
      </w:rPr>
    </w:lvl>
    <w:lvl w:ilvl="4" w:tplc="FB244346">
      <w:numFmt w:val="bullet"/>
      <w:lvlText w:val="•"/>
      <w:lvlJc w:val="left"/>
      <w:pPr>
        <w:ind w:left="3378" w:hanging="269"/>
      </w:pPr>
      <w:rPr>
        <w:rFonts w:hint="default"/>
      </w:rPr>
    </w:lvl>
    <w:lvl w:ilvl="5" w:tplc="5F662A8E">
      <w:numFmt w:val="bullet"/>
      <w:lvlText w:val="•"/>
      <w:lvlJc w:val="left"/>
      <w:pPr>
        <w:ind w:left="4132" w:hanging="269"/>
      </w:pPr>
      <w:rPr>
        <w:rFonts w:hint="default"/>
      </w:rPr>
    </w:lvl>
    <w:lvl w:ilvl="6" w:tplc="E380534E">
      <w:numFmt w:val="bullet"/>
      <w:lvlText w:val="•"/>
      <w:lvlJc w:val="left"/>
      <w:pPr>
        <w:ind w:left="4887" w:hanging="269"/>
      </w:pPr>
      <w:rPr>
        <w:rFonts w:hint="default"/>
      </w:rPr>
    </w:lvl>
    <w:lvl w:ilvl="7" w:tplc="56E4E2E0">
      <w:numFmt w:val="bullet"/>
      <w:lvlText w:val="•"/>
      <w:lvlJc w:val="left"/>
      <w:pPr>
        <w:ind w:left="5641" w:hanging="269"/>
      </w:pPr>
      <w:rPr>
        <w:rFonts w:hint="default"/>
      </w:rPr>
    </w:lvl>
    <w:lvl w:ilvl="8" w:tplc="69C055DC">
      <w:numFmt w:val="bullet"/>
      <w:lvlText w:val="•"/>
      <w:lvlJc w:val="left"/>
      <w:pPr>
        <w:ind w:left="6396" w:hanging="269"/>
      </w:pPr>
      <w:rPr>
        <w:rFonts w:hint="default"/>
      </w:rPr>
    </w:lvl>
  </w:abstractNum>
  <w:abstractNum w:abstractNumId="3">
    <w:nsid w:val="76BC4A95"/>
    <w:multiLevelType w:val="hybridMultilevel"/>
    <w:tmpl w:val="B420C01E"/>
    <w:lvl w:ilvl="0" w:tplc="AEBE3F1E">
      <w:start w:val="5"/>
      <w:numFmt w:val="decimal"/>
      <w:lvlText w:val="%1."/>
      <w:lvlJc w:val="left"/>
      <w:pPr>
        <w:ind w:left="352" w:hanging="269"/>
      </w:pPr>
      <w:rPr>
        <w:rFonts w:asciiTheme="minorHAnsi" w:eastAsia="Times New Roman" w:hAnsiTheme="minorHAnsi" w:cs="Times New Roman" w:hint="default"/>
        <w:b w:val="0"/>
        <w:spacing w:val="0"/>
        <w:w w:val="99"/>
        <w:sz w:val="20"/>
        <w:szCs w:val="20"/>
      </w:rPr>
    </w:lvl>
    <w:lvl w:ilvl="1" w:tplc="5C14BF78">
      <w:start w:val="1"/>
      <w:numFmt w:val="upperLetter"/>
      <w:lvlText w:val="%2."/>
      <w:lvlJc w:val="left"/>
      <w:pPr>
        <w:ind w:left="352" w:hanging="269"/>
      </w:pPr>
      <w:rPr>
        <w:rFonts w:asciiTheme="minorHAnsi" w:eastAsia="Times New Roman" w:hAnsiTheme="minorHAnsi" w:cs="Times New Roman" w:hint="default"/>
        <w:spacing w:val="-3"/>
        <w:w w:val="99"/>
        <w:sz w:val="20"/>
        <w:szCs w:val="20"/>
      </w:rPr>
    </w:lvl>
    <w:lvl w:ilvl="2" w:tplc="33662876">
      <w:numFmt w:val="bullet"/>
      <w:lvlText w:val="•"/>
      <w:lvlJc w:val="left"/>
      <w:pPr>
        <w:ind w:left="1869" w:hanging="269"/>
      </w:pPr>
      <w:rPr>
        <w:rFonts w:hint="default"/>
      </w:rPr>
    </w:lvl>
    <w:lvl w:ilvl="3" w:tplc="7F0C976E">
      <w:numFmt w:val="bullet"/>
      <w:lvlText w:val="•"/>
      <w:lvlJc w:val="left"/>
      <w:pPr>
        <w:ind w:left="2623" w:hanging="269"/>
      </w:pPr>
      <w:rPr>
        <w:rFonts w:hint="default"/>
      </w:rPr>
    </w:lvl>
    <w:lvl w:ilvl="4" w:tplc="F44EF1AA">
      <w:numFmt w:val="bullet"/>
      <w:lvlText w:val="•"/>
      <w:lvlJc w:val="left"/>
      <w:pPr>
        <w:ind w:left="3378" w:hanging="269"/>
      </w:pPr>
      <w:rPr>
        <w:rFonts w:hint="default"/>
      </w:rPr>
    </w:lvl>
    <w:lvl w:ilvl="5" w:tplc="9DB6F706">
      <w:numFmt w:val="bullet"/>
      <w:lvlText w:val="•"/>
      <w:lvlJc w:val="left"/>
      <w:pPr>
        <w:ind w:left="4132" w:hanging="269"/>
      </w:pPr>
      <w:rPr>
        <w:rFonts w:hint="default"/>
      </w:rPr>
    </w:lvl>
    <w:lvl w:ilvl="6" w:tplc="41D862D0">
      <w:numFmt w:val="bullet"/>
      <w:lvlText w:val="•"/>
      <w:lvlJc w:val="left"/>
      <w:pPr>
        <w:ind w:left="4887" w:hanging="269"/>
      </w:pPr>
      <w:rPr>
        <w:rFonts w:hint="default"/>
      </w:rPr>
    </w:lvl>
    <w:lvl w:ilvl="7" w:tplc="26362B9E">
      <w:numFmt w:val="bullet"/>
      <w:lvlText w:val="•"/>
      <w:lvlJc w:val="left"/>
      <w:pPr>
        <w:ind w:left="5641" w:hanging="269"/>
      </w:pPr>
      <w:rPr>
        <w:rFonts w:hint="default"/>
      </w:rPr>
    </w:lvl>
    <w:lvl w:ilvl="8" w:tplc="B1442000">
      <w:numFmt w:val="bullet"/>
      <w:lvlText w:val="•"/>
      <w:lvlJc w:val="left"/>
      <w:pPr>
        <w:ind w:left="6396" w:hanging="26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352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352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8E0D-64D9-4F73-9CD3-04B973E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 Copy Submittal Review Process Guideline with Flowchart</vt:lpstr>
    </vt:vector>
  </TitlesOfParts>
  <Company>National Park Service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Copy Submittal Review Process Guideline with Flowchart</dc:title>
  <dc:creator>National Park Service (NPS) - Denver Service Center (DSC)</dc:creator>
  <cp:keywords>Hard Copy Submittal Review Process Guideline with Flowchart</cp:keywords>
  <dc:description>Hard Copy Submittal Review Process Guideline with Flowchart</dc:description>
  <cp:lastModifiedBy>Elaine Lau</cp:lastModifiedBy>
  <cp:revision>24</cp:revision>
  <cp:lastPrinted>2017-08-17T17:20:00Z</cp:lastPrinted>
  <dcterms:created xsi:type="dcterms:W3CDTF">2017-08-03T19:46:00Z</dcterms:created>
  <dcterms:modified xsi:type="dcterms:W3CDTF">2017-08-18T17:45:00Z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2017-06-14T00:00:00Z</vt:filetime>
  </property>
</Properties>
</file>