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rPr>
          <w:noProof/>
        </w:rPr>
        <w:drawing>
          <wp:inline distT="0" distB="0" distL="0" distR="0">
            <wp:extent cx="7772400" cy="1082713"/>
            <wp:effectExtent l="0" t="0" r="0" b="3175"/>
            <wp:docPr id="22" name="Picture 22" descr="Top black banner with U.S. Department of the Interior and National Park Service formatted in reversed white text on the left and NPS arrowhead on the right." title="Black banner showing U.S. DOI, NPS, and NPS arrow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772400" cy="1082713"/>
                    </a:xfrm>
                    <a:prstGeom prst="rect">
                      <a:avLst/>
                    </a:prstGeom>
                  </pic:spPr>
                </pic:pic>
              </a:graphicData>
            </a:graphic>
          </wp:inline>
        </w:drawing>
      </w:r>
    </w:p>
    <w:p>
      <w:pPr>
        <w:pStyle w:val="Title"/>
        <w:spacing w:before="4000"/>
      </w:pPr>
      <w:r>
        <w:t>Addressing Climate Change</w:t>
      </w:r>
    </w:p>
    <w:p>
      <w:pPr>
        <w:pStyle w:val="Title"/>
      </w:pPr>
      <w:r>
        <w:t xml:space="preserve"> and </w:t>
      </w:r>
    </w:p>
    <w:p>
      <w:pPr>
        <w:pStyle w:val="Title"/>
      </w:pPr>
      <w:r>
        <w:t>Natural Hazards</w:t>
      </w:r>
    </w:p>
    <w:p>
      <w:pPr>
        <w:spacing w:after="0" w:line="240" w:lineRule="auto"/>
        <w:jc w:val="center"/>
        <w:rPr>
          <w:rFonts w:ascii="Times New Roman" w:hAnsi="Times New Roman"/>
          <w:b/>
          <w:sz w:val="28"/>
          <w:szCs w:val="32"/>
        </w:rPr>
      </w:pPr>
      <w:r>
        <w:rPr>
          <w:rFonts w:ascii="Times New Roman" w:hAnsi="Times New Roman"/>
          <w:b/>
          <w:sz w:val="28"/>
          <w:szCs w:val="32"/>
        </w:rPr>
        <w:t>Facility Planning and Design Considerations</w:t>
      </w:r>
    </w:p>
    <w:p>
      <w:pPr>
        <w:spacing w:after="0" w:line="240" w:lineRule="auto"/>
        <w:jc w:val="center"/>
        <w:rPr>
          <w:rFonts w:ascii="Times New Roman" w:hAnsi="Times New Roman"/>
          <w:b/>
          <w:sz w:val="28"/>
          <w:szCs w:val="32"/>
        </w:rPr>
      </w:pPr>
      <w:r>
        <w:rPr>
          <w:rFonts w:ascii="Times New Roman" w:hAnsi="Times New Roman"/>
          <w:b/>
          <w:sz w:val="28"/>
          <w:szCs w:val="32"/>
        </w:rPr>
        <w:t>January 2015</w:t>
      </w:r>
    </w:p>
    <w:p>
      <w:pPr>
        <w:spacing w:after="0" w:line="240" w:lineRule="auto"/>
        <w:jc w:val="center"/>
        <w:rPr>
          <w:rFonts w:ascii="Times New Roman" w:hAnsi="Times New Roman"/>
          <w:b/>
          <w:sz w:val="28"/>
          <w:szCs w:val="32"/>
        </w:rPr>
      </w:pPr>
    </w:p>
    <w:p>
      <w:pPr>
        <w:spacing w:after="0" w:line="240" w:lineRule="auto"/>
        <w:jc w:val="center"/>
        <w:rPr>
          <w:rFonts w:ascii="Times New Roman" w:hAnsi="Times New Roman"/>
          <w:b/>
          <w:sz w:val="28"/>
          <w:szCs w:val="32"/>
        </w:rPr>
      </w:pPr>
      <w:r>
        <w:rPr>
          <w:rFonts w:ascii="Times New Roman" w:hAnsi="Times New Roman"/>
          <w:b/>
          <w:sz w:val="28"/>
          <w:szCs w:val="32"/>
        </w:rPr>
        <w:t>Stop 1: Natural Hazard Checklist</w:t>
      </w:r>
    </w:p>
    <w:p>
      <w:pPr>
        <w:spacing w:after="0" w:line="240" w:lineRule="auto"/>
        <w:jc w:val="center"/>
        <w:rPr>
          <w:rFonts w:ascii="Times New Roman" w:hAnsi="Times New Roman"/>
          <w:sz w:val="18"/>
          <w:szCs w:val="24"/>
        </w:rPr>
      </w:pPr>
      <w:r>
        <w:rPr>
          <w:rFonts w:ascii="Times New Roman" w:hAnsi="Times New Roman"/>
          <w:szCs w:val="32"/>
        </w:rPr>
        <w:t>Excerpt: Level 3 Handbook</w:t>
      </w:r>
    </w:p>
    <w:p>
      <w:pPr>
        <w:rPr>
          <w:rFonts w:ascii="Times New Roman" w:hAnsi="Times New Roman"/>
          <w:sz w:val="24"/>
          <w:szCs w:val="24"/>
          <w:u w:val="single"/>
        </w:rPr>
      </w:pPr>
      <w:r>
        <w:rPr>
          <w:rFonts w:ascii="Times New Roman" w:hAnsi="Times New Roman"/>
          <w:sz w:val="24"/>
          <w:szCs w:val="24"/>
          <w:u w:val="single"/>
        </w:rPr>
        <w:br w:type="page"/>
      </w:r>
    </w:p>
    <w:p>
      <w:pPr>
        <w:spacing w:after="0" w:line="240" w:lineRule="auto"/>
        <w:rPr>
          <w:rFonts w:ascii="Times New Roman" w:hAnsi="Times New Roman"/>
          <w:b/>
          <w:color w:val="000000"/>
          <w:sz w:val="28"/>
          <w:szCs w:val="28"/>
          <w:u w:val="single"/>
        </w:rPr>
        <w:sectPr>
          <w:footerReference w:type="default" r:id="rId15"/>
          <w:pgSz w:w="12240" w:h="15840"/>
          <w:pgMar w:top="0" w:right="0" w:bottom="1440" w:left="0" w:header="720" w:footer="720" w:gutter="0"/>
          <w:cols w:space="720"/>
          <w:docGrid w:linePitch="360"/>
        </w:sectPr>
      </w:pPr>
    </w:p>
    <w:p>
      <w:pPr>
        <w:spacing w:after="0" w:line="240" w:lineRule="auto"/>
        <w:rPr>
          <w:rFonts w:ascii="Times New Roman" w:hAnsi="Times New Roman"/>
          <w:color w:val="000000"/>
          <w:sz w:val="28"/>
          <w:szCs w:val="28"/>
        </w:rPr>
      </w:pPr>
      <w:r>
        <w:rPr>
          <w:rFonts w:ascii="Times New Roman" w:hAnsi="Times New Roman"/>
          <w:b/>
          <w:color w:val="000000"/>
          <w:sz w:val="28"/>
          <w:szCs w:val="28"/>
          <w:u w:val="single"/>
        </w:rPr>
        <w:lastRenderedPageBreak/>
        <w:t>STOP 1. Natural Hazard Checklist</w:t>
      </w:r>
      <w:r>
        <w:rPr>
          <w:rFonts w:ascii="Times New Roman" w:hAnsi="Times New Roman"/>
          <w:color w:val="000000"/>
          <w:sz w:val="28"/>
          <w:szCs w:val="28"/>
        </w:rPr>
        <w:t xml:space="preserve"> </w:t>
      </w:r>
    </w:p>
    <w:p>
      <w:pPr>
        <w:spacing w:after="0" w:line="240" w:lineRule="auto"/>
        <w:rPr>
          <w:rFonts w:ascii="Times New Roman" w:hAnsi="Times New Roman"/>
          <w:color w:val="000000"/>
          <w:sz w:val="24"/>
          <w:szCs w:val="24"/>
        </w:rPr>
      </w:pPr>
    </w:p>
    <w:p>
      <w:pPr>
        <w:rPr>
          <w:rFonts w:ascii="Times New Roman" w:hAnsi="Times New Roman"/>
          <w:sz w:val="24"/>
          <w:szCs w:val="24"/>
        </w:rPr>
      </w:pPr>
      <w:r>
        <w:rPr>
          <w:rFonts w:ascii="Times New Roman" w:hAnsi="Times New Roman"/>
          <w:sz w:val="24"/>
          <w:szCs w:val="24"/>
        </w:rPr>
        <w:t>The checklist below is a screening tool to be used at the earliest stages of facility planning to determine the most likely natural hazards a project may confront.   This general information may help project teams assess which natural hazards may be applicable for a particular project</w:t>
      </w:r>
      <w:r>
        <w:rPr>
          <w:rFonts w:ascii="Times New Roman" w:hAnsi="Times New Roman"/>
          <w:sz w:val="24"/>
          <w:szCs w:val="24"/>
          <w:u w:val="single"/>
        </w:rPr>
        <w:t xml:space="preserve"> </w:t>
      </w:r>
      <w:r>
        <w:rPr>
          <w:rFonts w:ascii="Times New Roman" w:hAnsi="Times New Roman"/>
          <w:sz w:val="24"/>
          <w:szCs w:val="24"/>
        </w:rPr>
        <w:t>early in the facility planning and design process.  As the effort continues site specific information may be required to make a determination for any of the hazards.</w:t>
      </w:r>
    </w:p>
    <w:p>
      <w:pPr>
        <w:rPr>
          <w:rFonts w:ascii="Times New Roman" w:hAnsi="Times New Roman"/>
          <w:sz w:val="24"/>
          <w:szCs w:val="24"/>
        </w:rPr>
      </w:pPr>
      <w:r>
        <w:rPr>
          <w:rFonts w:ascii="Times New Roman" w:hAnsi="Times New Roman"/>
          <w:sz w:val="24"/>
          <w:szCs w:val="24"/>
        </w:rPr>
        <w:t xml:space="preserve">The checklist should be completed with input from appropriate Park personnel and specialists. If considerable questions remain about the applicability of specific hazard, contact the appropriate Region or WASO specialist. </w:t>
      </w:r>
    </w:p>
    <w:p>
      <w:pPr>
        <w:rPr>
          <w:rFonts w:ascii="Times New Roman" w:hAnsi="Times New Roman"/>
          <w:sz w:val="24"/>
          <w:szCs w:val="24"/>
        </w:rPr>
      </w:pPr>
      <w:r>
        <w:rPr>
          <w:rFonts w:ascii="Times New Roman" w:hAnsi="Times New Roman"/>
          <w:sz w:val="24"/>
          <w:szCs w:val="24"/>
        </w:rPr>
        <w:t>For each of the natural hazards listed below, the person(s) completing the checklist should indicate whether the hazard:</w:t>
      </w:r>
    </w:p>
    <w:p>
      <w:pPr>
        <w:numPr>
          <w:ilvl w:val="0"/>
          <w:numId w:val="19"/>
        </w:numPr>
        <w:rPr>
          <w:rFonts w:ascii="Times New Roman" w:hAnsi="Times New Roman"/>
          <w:sz w:val="24"/>
          <w:szCs w:val="24"/>
        </w:rPr>
      </w:pPr>
      <w:r>
        <w:rPr>
          <w:rFonts w:ascii="Times New Roman" w:hAnsi="Times New Roman"/>
          <w:sz w:val="24"/>
          <w:szCs w:val="24"/>
        </w:rPr>
        <w:t>Is applicable and could pose a risk to the project and/or needs more information for a determination.</w:t>
      </w:r>
    </w:p>
    <w:p>
      <w:pPr>
        <w:numPr>
          <w:ilvl w:val="0"/>
          <w:numId w:val="19"/>
        </w:numPr>
        <w:rPr>
          <w:rFonts w:ascii="Times New Roman" w:hAnsi="Times New Roman"/>
          <w:sz w:val="24"/>
          <w:szCs w:val="24"/>
        </w:rPr>
      </w:pPr>
      <w:r>
        <w:rPr>
          <w:rFonts w:ascii="Times New Roman" w:hAnsi="Times New Roman"/>
          <w:sz w:val="24"/>
          <w:szCs w:val="24"/>
        </w:rPr>
        <w:t>Is not applicable to the project for the following reason(s)</w:t>
      </w:r>
    </w:p>
    <w:p>
      <w:pPr>
        <w:numPr>
          <w:ilvl w:val="0"/>
          <w:numId w:val="20"/>
        </w:numPr>
        <w:rPr>
          <w:rFonts w:ascii="Times New Roman" w:hAnsi="Times New Roman"/>
          <w:sz w:val="24"/>
          <w:szCs w:val="24"/>
        </w:rPr>
      </w:pPr>
      <w:r>
        <w:rPr>
          <w:rFonts w:ascii="Times New Roman" w:hAnsi="Times New Roman"/>
          <w:sz w:val="24"/>
          <w:szCs w:val="24"/>
        </w:rPr>
        <w:t>Hazard does not occur due to geologic setting</w:t>
      </w:r>
      <w:r>
        <w:rPr>
          <w:rFonts w:ascii="Times New Roman" w:hAnsi="Times New Roman"/>
          <w:color w:val="00B050"/>
          <w:sz w:val="24"/>
          <w:szCs w:val="24"/>
        </w:rPr>
        <w:t xml:space="preserve"> </w:t>
      </w:r>
      <w:r>
        <w:rPr>
          <w:rFonts w:ascii="Times New Roman" w:hAnsi="Times New Roman"/>
          <w:sz w:val="24"/>
          <w:szCs w:val="24"/>
        </w:rPr>
        <w:t>(e.g., no volcanoes or permafrost are present in Florida).</w:t>
      </w:r>
    </w:p>
    <w:p>
      <w:pPr>
        <w:numPr>
          <w:ilvl w:val="0"/>
          <w:numId w:val="20"/>
        </w:numPr>
        <w:rPr>
          <w:rFonts w:ascii="Times New Roman" w:hAnsi="Times New Roman"/>
          <w:sz w:val="24"/>
          <w:szCs w:val="24"/>
        </w:rPr>
      </w:pPr>
      <w:r>
        <w:rPr>
          <w:rFonts w:ascii="Times New Roman" w:hAnsi="Times New Roman"/>
          <w:sz w:val="24"/>
          <w:szCs w:val="24"/>
        </w:rPr>
        <w:t>A previous hazard assessment concluded this hazard was not applicable at this location.</w:t>
      </w:r>
    </w:p>
    <w:p>
      <w:pPr>
        <w:rPr>
          <w:rFonts w:ascii="Times New Roman" w:hAnsi="Times New Roman"/>
          <w:sz w:val="24"/>
          <w:szCs w:val="24"/>
        </w:rPr>
      </w:pPr>
      <w:r>
        <w:rPr>
          <w:rFonts w:ascii="Times New Roman" w:hAnsi="Times New Roman"/>
          <w:sz w:val="24"/>
          <w:szCs w:val="24"/>
        </w:rPr>
        <w:t>The project’s checklist can be updated at various project milestones as more information is developed.</w:t>
      </w:r>
      <w:r>
        <w:rPr>
          <w:rFonts w:ascii="Times New Roman" w:hAnsi="Times New Roman"/>
          <w:color w:val="FF0000"/>
          <w:sz w:val="24"/>
          <w:szCs w:val="24"/>
        </w:rPr>
        <w:t xml:space="preserve">  </w:t>
      </w:r>
      <w:r>
        <w:rPr>
          <w:rFonts w:ascii="Times New Roman" w:hAnsi="Times New Roman"/>
          <w:sz w:val="24"/>
          <w:szCs w:val="24"/>
        </w:rPr>
        <w:t xml:space="preserve">By the time a team completes the schematic design phase the natural hazards applicable to the project should be identified and the checklist should no longer reflect uncertainty associated with any of the hazards listed.  To achieve this level of understanding natural hazard assessment(s) may be needed for the project site. </w:t>
      </w:r>
    </w:p>
    <w:p>
      <w:pPr>
        <w:spacing w:after="4000"/>
        <w:rPr>
          <w:rFonts w:ascii="Times New Roman" w:hAnsi="Times New Roman"/>
          <w:sz w:val="24"/>
          <w:szCs w:val="24"/>
        </w:rPr>
      </w:pPr>
      <w:r>
        <w:rPr>
          <w:rFonts w:ascii="Times New Roman" w:hAnsi="Times New Roman"/>
          <w:sz w:val="24"/>
          <w:szCs w:val="24"/>
        </w:rPr>
        <w:t>Future versions of this handbook may address additional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070"/>
        <w:gridCol w:w="2140"/>
        <w:gridCol w:w="20"/>
        <w:gridCol w:w="2070"/>
        <w:gridCol w:w="1890"/>
        <w:gridCol w:w="8"/>
      </w:tblGrid>
      <w:tr>
        <w:trPr>
          <w:cantSplit/>
          <w:tblHeader/>
        </w:trPr>
        <w:tc>
          <w:tcPr>
            <w:tcW w:w="9566" w:type="dxa"/>
            <w:gridSpan w:val="7"/>
          </w:tcPr>
          <w:p>
            <w:pPr>
              <w:spacing w:after="0" w:line="240" w:lineRule="auto"/>
              <w:jc w:val="center"/>
              <w:rPr>
                <w:b/>
                <w:sz w:val="32"/>
                <w:szCs w:val="32"/>
              </w:rPr>
            </w:pPr>
            <w:r>
              <w:rPr>
                <w:b/>
                <w:sz w:val="32"/>
                <w:szCs w:val="32"/>
              </w:rPr>
              <w:lastRenderedPageBreak/>
              <w:t>Natural Hazard Checklist</w:t>
            </w:r>
          </w:p>
        </w:tc>
      </w:tr>
      <w:tr>
        <w:trPr>
          <w:cantSplit/>
          <w:trHeight w:val="962"/>
          <w:tblHeader/>
        </w:trPr>
        <w:tc>
          <w:tcPr>
            <w:tcW w:w="1368" w:type="dxa"/>
          </w:tcPr>
          <w:p>
            <w:pPr>
              <w:spacing w:after="0" w:line="240" w:lineRule="auto"/>
              <w:jc w:val="center"/>
              <w:rPr>
                <w:rFonts w:ascii="Times New Roman" w:hAnsi="Times New Roman"/>
                <w:sz w:val="24"/>
                <w:szCs w:val="24"/>
              </w:rPr>
            </w:pPr>
            <w:r>
              <w:rPr>
                <w:rFonts w:ascii="Times New Roman" w:hAnsi="Times New Roman"/>
                <w:sz w:val="24"/>
                <w:szCs w:val="24"/>
              </w:rPr>
              <w:t>Potential Natural Hazard</w:t>
            </w:r>
          </w:p>
        </w:tc>
        <w:tc>
          <w:tcPr>
            <w:tcW w:w="2070" w:type="dxa"/>
          </w:tcPr>
          <w:p>
            <w:pPr>
              <w:spacing w:after="0" w:line="240" w:lineRule="auto"/>
              <w:jc w:val="center"/>
              <w:rPr>
                <w:rFonts w:ascii="Times New Roman" w:hAnsi="Times New Roman"/>
                <w:sz w:val="24"/>
                <w:szCs w:val="24"/>
              </w:rPr>
            </w:pPr>
            <w:r>
              <w:rPr>
                <w:rFonts w:ascii="Times New Roman" w:hAnsi="Times New Roman"/>
                <w:sz w:val="24"/>
                <w:szCs w:val="24"/>
              </w:rPr>
              <w:t>Risk or secondary hazard</w:t>
            </w:r>
          </w:p>
        </w:tc>
        <w:tc>
          <w:tcPr>
            <w:tcW w:w="2140" w:type="dxa"/>
          </w:tcPr>
          <w:p>
            <w:pPr>
              <w:spacing w:after="0" w:line="240" w:lineRule="auto"/>
              <w:jc w:val="center"/>
              <w:rPr>
                <w:rFonts w:ascii="Times New Roman" w:hAnsi="Times New Roman"/>
                <w:color w:val="FF0000"/>
                <w:sz w:val="24"/>
                <w:szCs w:val="24"/>
              </w:rPr>
            </w:pPr>
            <w:r>
              <w:rPr>
                <w:rFonts w:ascii="Times New Roman" w:hAnsi="Times New Roman"/>
                <w:sz w:val="24"/>
                <w:szCs w:val="24"/>
              </w:rPr>
              <w:t>Sources of General Non-site specific Data</w:t>
            </w:r>
          </w:p>
        </w:tc>
        <w:tc>
          <w:tcPr>
            <w:tcW w:w="2090" w:type="dxa"/>
            <w:gridSpan w:val="2"/>
          </w:tcPr>
          <w:p>
            <w:pPr>
              <w:spacing w:after="0" w:line="240" w:lineRule="auto"/>
              <w:jc w:val="center"/>
              <w:rPr>
                <w:rFonts w:ascii="Times New Roman" w:hAnsi="Times New Roman"/>
                <w:sz w:val="24"/>
                <w:szCs w:val="24"/>
              </w:rPr>
            </w:pPr>
            <w:r>
              <w:rPr>
                <w:rFonts w:ascii="Times New Roman" w:hAnsi="Times New Roman"/>
                <w:sz w:val="24"/>
                <w:szCs w:val="24"/>
              </w:rPr>
              <w:t>Sources for Site Specific Data</w:t>
            </w:r>
          </w:p>
        </w:tc>
        <w:tc>
          <w:tcPr>
            <w:tcW w:w="1898" w:type="dxa"/>
            <w:gridSpan w:val="2"/>
          </w:tcPr>
          <w:p>
            <w:pPr>
              <w:spacing w:after="0" w:line="240" w:lineRule="auto"/>
              <w:jc w:val="center"/>
              <w:rPr>
                <w:rFonts w:ascii="Times New Roman" w:hAnsi="Times New Roman"/>
                <w:sz w:val="24"/>
                <w:szCs w:val="24"/>
              </w:rPr>
            </w:pPr>
            <w:r>
              <w:rPr>
                <w:rFonts w:ascii="Times New Roman" w:hAnsi="Times New Roman"/>
                <w:sz w:val="24"/>
                <w:szCs w:val="24"/>
              </w:rPr>
              <w:t>Best Professional Judgment</w:t>
            </w:r>
          </w:p>
        </w:tc>
      </w:tr>
      <w:tr>
        <w:trPr>
          <w:cantSplit/>
          <w:trHeight w:val="7640"/>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Earthquake</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Falling objects.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Collapsing structures.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Inoperability of major building systems e.g. power, sewer, water. </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Liquefaction; loss of strength to foundations, silt deposition, standing water. </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Trigger to other hazards e.g. landslides, debris flows. </w:t>
            </w:r>
          </w:p>
          <w:p>
            <w:pPr>
              <w:spacing w:after="0" w:line="240" w:lineRule="auto"/>
              <w:ind w:left="216"/>
              <w:contextualSpacing/>
              <w:rPr>
                <w:rFonts w:ascii="Times New Roman" w:hAnsi="Times New Roman"/>
                <w:sz w:val="24"/>
                <w:szCs w:val="24"/>
              </w:rPr>
            </w:pPr>
          </w:p>
        </w:tc>
        <w:tc>
          <w:tcPr>
            <w:tcW w:w="2140" w:type="dxa"/>
          </w:tcPr>
          <w:p>
            <w:pPr>
              <w:spacing w:after="0" w:line="240" w:lineRule="auto"/>
              <w:jc w:val="center"/>
            </w:pPr>
          </w:p>
          <w:p>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352550" cy="819150"/>
                  <wp:effectExtent l="0" t="0" r="0" b="0"/>
                  <wp:docPr id="1" name="Picture 1" title="Thumbnail image of United States Earthquake Probability Mapping by United States Geological Survey (USGS). Click thumbnail to view larger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p>
          <w:p>
            <w:pPr>
              <w:spacing w:after="0" w:line="240" w:lineRule="auto"/>
              <w:jc w:val="center"/>
              <w:rPr>
                <w:rFonts w:ascii="Times New Roman" w:hAnsi="Times New Roman"/>
                <w:sz w:val="24"/>
                <w:szCs w:val="24"/>
              </w:rPr>
            </w:pPr>
          </w:p>
          <w:p>
            <w:pPr>
              <w:spacing w:after="0" w:line="240" w:lineRule="auto"/>
              <w:jc w:val="center"/>
            </w:pPr>
            <w:r>
              <w:rPr>
                <w:noProof/>
              </w:rPr>
              <w:drawing>
                <wp:inline distT="0" distB="0" distL="0" distR="0">
                  <wp:extent cx="1276350" cy="990600"/>
                  <wp:effectExtent l="0" t="0" r="0" b="0"/>
                  <wp:docPr id="2" name="Picture 2" title="Thumbnail image of United States peak ground acceleration. Click thumbnail to view larger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pPr>
              <w:spacing w:after="0" w:line="240" w:lineRule="auto"/>
              <w:jc w:val="center"/>
            </w:pPr>
          </w:p>
          <w:p>
            <w:pPr>
              <w:spacing w:after="0" w:line="240" w:lineRule="auto"/>
              <w:jc w:val="center"/>
              <w:rPr>
                <w:noProof/>
              </w:rPr>
            </w:pPr>
            <w:r>
              <w:rPr>
                <w:noProof/>
              </w:rPr>
              <w:drawing>
                <wp:inline distT="0" distB="0" distL="0" distR="0">
                  <wp:extent cx="1276350" cy="990600"/>
                  <wp:effectExtent l="0" t="0" r="0" b="0"/>
                  <wp:docPr id="3" name="Picture 3" title="Thumbnail image of Hawaii peak ground acceleration. Click thumbnail for to view larger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pPr>
              <w:spacing w:after="0" w:line="240" w:lineRule="auto"/>
              <w:jc w:val="center"/>
              <w:rPr>
                <w:noProof/>
              </w:rPr>
            </w:pPr>
          </w:p>
          <w:p>
            <w:pPr>
              <w:spacing w:after="0" w:line="240" w:lineRule="auto"/>
              <w:jc w:val="center"/>
              <w:rPr>
                <w:rFonts w:ascii="Times New Roman" w:hAnsi="Times New Roman"/>
                <w:sz w:val="24"/>
                <w:szCs w:val="24"/>
              </w:rPr>
            </w:pPr>
            <w:r>
              <w:rPr>
                <w:noProof/>
              </w:rPr>
              <w:drawing>
                <wp:inline distT="0" distB="0" distL="0" distR="0">
                  <wp:extent cx="1276350" cy="895350"/>
                  <wp:effectExtent l="0" t="0" r="0" b="0"/>
                  <wp:docPr id="4" name="Picture 4" title="Thumbnail image of Alaska peak ground acceleration. Click thumbnail for to view larger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inline>
              </w:drawing>
            </w:r>
          </w:p>
        </w:tc>
        <w:tc>
          <w:tcPr>
            <w:tcW w:w="2090" w:type="dxa"/>
            <w:gridSpan w:val="2"/>
          </w:tcPr>
          <w:p>
            <w:pPr>
              <w:spacing w:after="0" w:line="240" w:lineRule="auto"/>
              <w:jc w:val="center"/>
              <w:rPr>
                <w:rFonts w:ascii="Times New Roman" w:hAnsi="Times New Roman"/>
                <w:b/>
                <w:color w:val="FF0000"/>
                <w:szCs w:val="24"/>
              </w:rPr>
            </w:pPr>
          </w:p>
          <w:p>
            <w:pPr>
              <w:numPr>
                <w:ilvl w:val="0"/>
                <w:numId w:val="13"/>
              </w:numPr>
              <w:spacing w:after="0" w:line="240" w:lineRule="auto"/>
              <w:rPr>
                <w:rFonts w:ascii="Times New Roman" w:hAnsi="Times New Roman"/>
                <w:sz w:val="24"/>
                <w:szCs w:val="24"/>
              </w:rPr>
            </w:pPr>
            <w:r>
              <w:rPr>
                <w:rFonts w:ascii="Times New Roman" w:hAnsi="Times New Roman"/>
                <w:sz w:val="24"/>
                <w:szCs w:val="24"/>
              </w:rPr>
              <w:t>International Building Code</w:t>
            </w:r>
          </w:p>
          <w:p>
            <w:pPr>
              <w:spacing w:after="0" w:line="240" w:lineRule="auto"/>
              <w:ind w:left="360"/>
              <w:rPr>
                <w:rFonts w:ascii="Times New Roman" w:hAnsi="Times New Roman"/>
                <w:sz w:val="24"/>
                <w:szCs w:val="24"/>
              </w:rPr>
            </w:pPr>
          </w:p>
          <w:p>
            <w:pPr>
              <w:numPr>
                <w:ilvl w:val="0"/>
                <w:numId w:val="13"/>
              </w:numPr>
              <w:spacing w:after="0" w:line="240" w:lineRule="auto"/>
              <w:rPr>
                <w:rFonts w:ascii="Times New Roman" w:hAnsi="Times New Roman"/>
                <w:sz w:val="24"/>
                <w:szCs w:val="24"/>
              </w:rPr>
            </w:pPr>
            <w:hyperlink r:id="rId24" w:history="1">
              <w:r>
                <w:rPr>
                  <w:rFonts w:ascii="Times New Roman" w:hAnsi="Times New Roman"/>
                  <w:color w:val="0000FF"/>
                  <w:sz w:val="24"/>
                  <w:szCs w:val="24"/>
                  <w:u w:val="single"/>
                </w:rPr>
                <w:t>USGS: 2009 Earthquake Probability Mapping</w:t>
              </w:r>
            </w:hyperlink>
          </w:p>
          <w:p>
            <w:pPr>
              <w:spacing w:after="0" w:line="240" w:lineRule="auto"/>
              <w:rPr>
                <w:rFonts w:ascii="Times New Roman" w:hAnsi="Times New Roman"/>
                <w:sz w:val="24"/>
                <w:szCs w:val="24"/>
              </w:rPr>
            </w:pPr>
          </w:p>
          <w:p>
            <w:pPr>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State based mapping e.g. </w:t>
            </w:r>
            <w:hyperlink r:id="rId25" w:history="1">
              <w:r>
                <w:rPr>
                  <w:rFonts w:ascii="Times New Roman" w:hAnsi="Times New Roman"/>
                  <w:color w:val="0000FF"/>
                  <w:sz w:val="24"/>
                  <w:szCs w:val="24"/>
                  <w:u w:val="single"/>
                </w:rPr>
                <w:t>WA liquefaction susceptibility and site class maps.</w:t>
              </w:r>
            </w:hyperlink>
          </w:p>
          <w:p>
            <w:pPr>
              <w:spacing w:after="0" w:line="240" w:lineRule="auto"/>
              <w:rPr>
                <w:rFonts w:ascii="Times New Roman" w:hAnsi="Times New Roman"/>
                <w:sz w:val="24"/>
                <w:szCs w:val="24"/>
              </w:rPr>
            </w:pPr>
          </w:p>
          <w:p>
            <w:pPr>
              <w:numPr>
                <w:ilvl w:val="0"/>
                <w:numId w:val="13"/>
              </w:numPr>
              <w:spacing w:after="0" w:line="240" w:lineRule="auto"/>
              <w:rPr>
                <w:rFonts w:ascii="Times New Roman" w:hAnsi="Times New Roman"/>
                <w:sz w:val="24"/>
                <w:szCs w:val="24"/>
              </w:rPr>
            </w:pPr>
            <w:hyperlink r:id="rId26" w:history="1">
              <w:r>
                <w:rPr>
                  <w:rFonts w:ascii="Times New Roman" w:hAnsi="Times New Roman"/>
                  <w:color w:val="0000FF"/>
                  <w:sz w:val="24"/>
                  <w:szCs w:val="24"/>
                  <w:u w:val="single"/>
                </w:rPr>
                <w:t>NPS Technical Support</w:t>
              </w:r>
            </w:hyperlink>
          </w:p>
        </w:tc>
        <w:tc>
          <w:tcPr>
            <w:tcW w:w="1898" w:type="dxa"/>
            <w:gridSpan w:val="2"/>
            <w:vAlign w:val="center"/>
          </w:tcPr>
          <w:p>
            <w:pPr>
              <w:spacing w:after="0" w:line="240" w:lineRule="auto"/>
              <w:jc w:val="center"/>
              <w:rPr>
                <w:vertAlign w:val="superscript"/>
              </w:rP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Landslide/</w:t>
            </w:r>
          </w:p>
          <w:p>
            <w:pPr>
              <w:spacing w:after="0" w:line="240" w:lineRule="auto"/>
              <w:jc w:val="center"/>
              <w:rPr>
                <w:rFonts w:ascii="Times New Roman" w:hAnsi="Times New Roman"/>
                <w:sz w:val="24"/>
                <w:szCs w:val="24"/>
              </w:rPr>
            </w:pPr>
            <w:r>
              <w:rPr>
                <w:rFonts w:ascii="Times New Roman" w:hAnsi="Times New Roman"/>
                <w:sz w:val="24"/>
                <w:szCs w:val="24"/>
              </w:rPr>
              <w:t>Avalanche</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Rockfall.</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Mud or debris slides or flows onto structures.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Mud or debris slides or flows from under structures.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Snow avalanche.</w:t>
            </w:r>
          </w:p>
        </w:tc>
        <w:tc>
          <w:tcPr>
            <w:tcW w:w="2140" w:type="dxa"/>
          </w:tcPr>
          <w:p>
            <w:pPr>
              <w:spacing w:after="0" w:line="240" w:lineRule="auto"/>
            </w:pPr>
          </w:p>
          <w:p>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390650" cy="990600"/>
                  <wp:effectExtent l="0" t="0" r="0" b="0"/>
                  <wp:docPr id="5" name="Picture 5" title="Thumbnail image of landslide hazard of the conterminous United States. Click thumbnail to view larger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r>
              <w:rPr>
                <w:rFonts w:ascii="Times New Roman" w:hAnsi="Times New Roman"/>
                <w:sz w:val="24"/>
                <w:szCs w:val="24"/>
              </w:rPr>
              <w:t xml:space="preserve"> </w:t>
            </w:r>
          </w:p>
        </w:tc>
        <w:tc>
          <w:tcPr>
            <w:tcW w:w="2090" w:type="dxa"/>
            <w:gridSpan w:val="2"/>
          </w:tcPr>
          <w:p>
            <w:pPr>
              <w:numPr>
                <w:ilvl w:val="0"/>
                <w:numId w:val="14"/>
              </w:numPr>
              <w:spacing w:after="0" w:line="240" w:lineRule="auto"/>
              <w:rPr>
                <w:rFonts w:ascii="Times New Roman" w:hAnsi="Times New Roman"/>
                <w:sz w:val="24"/>
                <w:szCs w:val="24"/>
              </w:rPr>
            </w:pPr>
            <w:r>
              <w:rPr>
                <w:rFonts w:ascii="Times New Roman" w:hAnsi="Times New Roman"/>
                <w:sz w:val="24"/>
                <w:szCs w:val="24"/>
              </w:rPr>
              <w:t xml:space="preserve">State geological surveys e.g. </w:t>
            </w:r>
            <w:hyperlink r:id="rId29" w:history="1">
              <w:r>
                <w:rPr>
                  <w:rFonts w:ascii="Times New Roman" w:hAnsi="Times New Roman"/>
                  <w:color w:val="0000FF"/>
                  <w:sz w:val="24"/>
                  <w:szCs w:val="24"/>
                  <w:u w:val="single"/>
                </w:rPr>
                <w:t>CA landslide mapping</w:t>
              </w:r>
            </w:hyperlink>
            <w:r>
              <w:rPr>
                <w:rFonts w:ascii="Times New Roman" w:hAnsi="Times New Roman"/>
                <w:sz w:val="24"/>
                <w:szCs w:val="24"/>
              </w:rPr>
              <w:t xml:space="preserve">. </w:t>
            </w:r>
          </w:p>
          <w:p>
            <w:pPr>
              <w:spacing w:after="0" w:line="240" w:lineRule="auto"/>
              <w:rPr>
                <w:rFonts w:ascii="Times New Roman" w:hAnsi="Times New Roman"/>
                <w:sz w:val="24"/>
                <w:szCs w:val="24"/>
              </w:rPr>
            </w:pPr>
          </w:p>
          <w:p>
            <w:pPr>
              <w:numPr>
                <w:ilvl w:val="0"/>
                <w:numId w:val="14"/>
              </w:numPr>
              <w:spacing w:after="0" w:line="240" w:lineRule="auto"/>
              <w:rPr>
                <w:rFonts w:ascii="Times New Roman" w:hAnsi="Times New Roman"/>
                <w:sz w:val="24"/>
                <w:szCs w:val="24"/>
              </w:rPr>
            </w:pPr>
            <w:hyperlink r:id="rId30" w:history="1">
              <w:r>
                <w:rPr>
                  <w:rFonts w:ascii="Times New Roman" w:hAnsi="Times New Roman"/>
                  <w:color w:val="0000FF"/>
                  <w:sz w:val="24"/>
                  <w:szCs w:val="24"/>
                  <w:u w:val="single"/>
                </w:rPr>
                <w:t>NPS Technical Support</w:t>
              </w:r>
            </w:hyperlink>
          </w:p>
          <w:p>
            <w:pPr>
              <w:spacing w:after="0" w:line="240" w:lineRule="auto"/>
              <w:ind w:left="360"/>
              <w:rPr>
                <w:rFonts w:ascii="Times New Roman" w:hAnsi="Times New Roman"/>
                <w:sz w:val="24"/>
                <w:szCs w:val="24"/>
              </w:rPr>
            </w:pP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lastRenderedPageBreak/>
              <w:t>Permafrost</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Melting.</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Surface collapse.</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Increased landslide susceptibility.</w:t>
            </w:r>
            <w:r>
              <w:rPr>
                <w:sz w:val="24"/>
              </w:rPr>
              <w:t xml:space="preserve"> </w:t>
            </w:r>
          </w:p>
        </w:tc>
        <w:tc>
          <w:tcPr>
            <w:tcW w:w="2140" w:type="dxa"/>
            <w:vAlign w:val="center"/>
          </w:tcPr>
          <w:p>
            <w:pPr>
              <w:spacing w:after="0" w:line="240" w:lineRule="auto"/>
              <w:rPr>
                <w:sz w:val="24"/>
              </w:rPr>
            </w:pPr>
          </w:p>
          <w:p>
            <w:pPr>
              <w:spacing w:after="0" w:line="240" w:lineRule="auto"/>
              <w:rPr>
                <w:sz w:val="24"/>
              </w:rPr>
            </w:pPr>
            <w:r>
              <w:rPr>
                <w:noProof/>
                <w:sz w:val="24"/>
              </w:rPr>
              <w:drawing>
                <wp:inline distT="0" distB="0" distL="0" distR="0">
                  <wp:extent cx="1333500" cy="1333500"/>
                  <wp:effectExtent l="0" t="0" r="0" b="0"/>
                  <wp:docPr id="6" name="Picture 6" title="Thumbnail image of Alaska climate monitor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pPr>
              <w:spacing w:after="0" w:line="240" w:lineRule="auto"/>
              <w:rPr>
                <w:sz w:val="24"/>
              </w:rPr>
            </w:pPr>
            <w:r>
              <w:rPr>
                <w:noProof/>
                <w:sz w:val="24"/>
              </w:rPr>
              <w:drawing>
                <wp:inline distT="0" distB="0" distL="0" distR="0">
                  <wp:extent cx="1314450" cy="1314450"/>
                  <wp:effectExtent l="0" t="0" r="0" b="0"/>
                  <wp:docPr id="7" name="Picture 7" title="Thumbnail image of Earth circumarcti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mafront Mapcaps_nip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2090" w:type="dxa"/>
            <w:gridSpan w:val="2"/>
          </w:tcPr>
          <w:p>
            <w:pPr>
              <w:spacing w:after="0" w:line="240" w:lineRule="auto"/>
              <w:jc w:val="center"/>
              <w:rPr>
                <w:rFonts w:ascii="Times New Roman" w:hAnsi="Times New Roman"/>
                <w:b/>
                <w:color w:val="000000"/>
                <w:szCs w:val="24"/>
              </w:rPr>
            </w:pPr>
          </w:p>
          <w:p>
            <w:pPr>
              <w:spacing w:after="0" w:line="240" w:lineRule="auto"/>
              <w:rPr>
                <w:rFonts w:ascii="Times New Roman" w:hAnsi="Times New Roman"/>
                <w:b/>
                <w:color w:val="FF0000"/>
                <w:szCs w:val="24"/>
              </w:rPr>
            </w:pPr>
          </w:p>
          <w:p>
            <w:pPr>
              <w:spacing w:after="0" w:line="240" w:lineRule="auto"/>
              <w:rPr>
                <w:rFonts w:ascii="Times New Roman" w:hAnsi="Times New Roman"/>
                <w:sz w:val="24"/>
                <w:szCs w:val="24"/>
              </w:rPr>
            </w:pPr>
          </w:p>
          <w:p>
            <w:pPr>
              <w:numPr>
                <w:ilvl w:val="0"/>
                <w:numId w:val="13"/>
              </w:numPr>
              <w:spacing w:after="0" w:line="240" w:lineRule="auto"/>
              <w:rPr>
                <w:rFonts w:ascii="Times New Roman" w:hAnsi="Times New Roman"/>
                <w:sz w:val="24"/>
                <w:szCs w:val="24"/>
              </w:rPr>
            </w:pPr>
            <w:hyperlink r:id="rId35" w:history="1">
              <w:r>
                <w:rPr>
                  <w:rStyle w:val="Hyperlink"/>
                  <w:rFonts w:ascii="Times New Roman" w:hAnsi="Times New Roman"/>
                  <w:sz w:val="24"/>
                  <w:szCs w:val="24"/>
                </w:rPr>
                <w:t>Global Permafrost Zonation Index Map</w:t>
              </w:r>
            </w:hyperlink>
          </w:p>
          <w:p>
            <w:pPr>
              <w:spacing w:after="0" w:line="240" w:lineRule="auto"/>
              <w:rPr>
                <w:rFonts w:ascii="Times New Roman" w:hAnsi="Times New Roman"/>
                <w:sz w:val="24"/>
                <w:szCs w:val="24"/>
              </w:rPr>
            </w:pPr>
          </w:p>
          <w:p>
            <w:pPr>
              <w:numPr>
                <w:ilvl w:val="0"/>
                <w:numId w:val="13"/>
              </w:numPr>
              <w:spacing w:after="0" w:line="240" w:lineRule="auto"/>
              <w:rPr>
                <w:rFonts w:ascii="Times New Roman" w:hAnsi="Times New Roman"/>
                <w:sz w:val="24"/>
                <w:szCs w:val="24"/>
              </w:rPr>
            </w:pPr>
            <w:hyperlink r:id="rId36" w:history="1">
              <w:r>
                <w:rPr>
                  <w:rFonts w:ascii="Times New Roman" w:hAnsi="Times New Roman"/>
                  <w:color w:val="0000FF"/>
                  <w:sz w:val="24"/>
                  <w:szCs w:val="24"/>
                  <w:u w:val="single"/>
                </w:rPr>
                <w:t>NPS Technical Support</w:t>
              </w:r>
            </w:hyperlink>
          </w:p>
          <w:p>
            <w:pPr>
              <w:spacing w:after="0" w:line="240" w:lineRule="auto"/>
              <w:rPr>
                <w:rFonts w:ascii="Times New Roman" w:hAnsi="Times New Roman"/>
                <w:b/>
                <w:color w:val="FF0000"/>
                <w:szCs w:val="24"/>
              </w:rPr>
            </w:pP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Cave/Karst (sinkholes)</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Surface collapse</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Contamination</w:t>
            </w:r>
          </w:p>
          <w:p>
            <w:pPr>
              <w:numPr>
                <w:ilvl w:val="0"/>
                <w:numId w:val="4"/>
              </w:numPr>
              <w:spacing w:after="0" w:line="240" w:lineRule="auto"/>
              <w:ind w:left="216" w:hanging="144"/>
              <w:contextualSpacing/>
              <w:rPr>
                <w:rFonts w:ascii="Times New Roman" w:hAnsi="Times New Roman"/>
                <w:sz w:val="24"/>
              </w:rPr>
            </w:pPr>
            <w:r>
              <w:rPr>
                <w:rFonts w:ascii="Times New Roman" w:hAnsi="Times New Roman"/>
                <w:sz w:val="24"/>
                <w:szCs w:val="24"/>
              </w:rPr>
              <w:t>Abandoned Mineral Lands (AML) features</w:t>
            </w:r>
          </w:p>
        </w:tc>
        <w:tc>
          <w:tcPr>
            <w:tcW w:w="2140" w:type="dxa"/>
            <w:vAlign w:val="center"/>
          </w:tcPr>
          <w:p>
            <w:pPr>
              <w:spacing w:after="0" w:line="240" w:lineRule="auto"/>
              <w:jc w:val="center"/>
              <w:rPr>
                <w:sz w:val="24"/>
              </w:rPr>
            </w:pPr>
          </w:p>
          <w:p>
            <w:pPr>
              <w:spacing w:after="0" w:line="240" w:lineRule="auto"/>
              <w:jc w:val="center"/>
              <w:rPr>
                <w:sz w:val="24"/>
              </w:rPr>
            </w:pPr>
            <w:r>
              <w:rPr>
                <w:noProof/>
                <w:sz w:val="24"/>
              </w:rPr>
              <w:drawing>
                <wp:inline distT="0" distB="0" distL="0" distR="0">
                  <wp:extent cx="1257300" cy="876300"/>
                  <wp:effectExtent l="0" t="0" r="0" b="0"/>
                  <wp:docPr id="8" name="Picture 8" title="Thumbnail image of karst and potential karst areas in soluable rocks in the contiguous United States. Click thumbnail to view larger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pPr>
              <w:spacing w:after="0" w:line="240" w:lineRule="auto"/>
              <w:jc w:val="center"/>
              <w:rPr>
                <w:sz w:val="24"/>
              </w:rPr>
            </w:pPr>
          </w:p>
          <w:p>
            <w:pPr>
              <w:spacing w:after="0" w:line="240" w:lineRule="auto"/>
              <w:jc w:val="center"/>
              <w:rPr>
                <w:sz w:val="24"/>
              </w:rPr>
            </w:pPr>
            <w:r>
              <w:rPr>
                <w:noProof/>
                <w:sz w:val="24"/>
              </w:rPr>
              <w:drawing>
                <wp:inline distT="0" distB="0" distL="0" distR="0">
                  <wp:extent cx="1276350" cy="1028700"/>
                  <wp:effectExtent l="0" t="0" r="0" b="0"/>
                  <wp:docPr id="9" name="Picture 9" title="Thumbnail image of Alaska, Hawaii, and Puerto Rico showing humid climate karst. Click thumbnail to view larger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p>
          <w:p>
            <w:pPr>
              <w:spacing w:after="0" w:line="240" w:lineRule="auto"/>
              <w:jc w:val="center"/>
              <w:rPr>
                <w:sz w:val="24"/>
              </w:rPr>
            </w:pPr>
          </w:p>
        </w:tc>
        <w:tc>
          <w:tcPr>
            <w:tcW w:w="2090" w:type="dxa"/>
            <w:gridSpan w:val="2"/>
            <w:vAlign w:val="center"/>
          </w:tcPr>
          <w:p>
            <w:pPr>
              <w:numPr>
                <w:ilvl w:val="0"/>
                <w:numId w:val="17"/>
              </w:numPr>
              <w:spacing w:after="0" w:line="240" w:lineRule="auto"/>
              <w:rPr>
                <w:rFonts w:ascii="Times New Roman" w:hAnsi="Times New Roman"/>
                <w:color w:val="FF0000"/>
                <w:szCs w:val="24"/>
              </w:rPr>
            </w:pPr>
            <w:r>
              <w:rPr>
                <w:rFonts w:ascii="Times New Roman" w:hAnsi="Times New Roman"/>
                <w:color w:val="000000"/>
                <w:szCs w:val="24"/>
              </w:rPr>
              <w:t>State geological hazards maps.</w:t>
            </w:r>
          </w:p>
          <w:p>
            <w:pPr>
              <w:numPr>
                <w:ilvl w:val="0"/>
                <w:numId w:val="17"/>
              </w:numPr>
              <w:spacing w:after="0" w:line="240" w:lineRule="auto"/>
              <w:rPr>
                <w:rFonts w:ascii="Times New Roman" w:hAnsi="Times New Roman"/>
                <w:color w:val="FF0000"/>
                <w:szCs w:val="24"/>
              </w:rPr>
            </w:pPr>
            <w:r>
              <w:rPr>
                <w:rFonts w:ascii="Times New Roman" w:hAnsi="Times New Roman"/>
                <w:color w:val="000000"/>
                <w:szCs w:val="24"/>
              </w:rPr>
              <w:t>AML features</w:t>
            </w:r>
          </w:p>
          <w:p>
            <w:pPr>
              <w:spacing w:after="0" w:line="240" w:lineRule="auto"/>
              <w:rPr>
                <w:rFonts w:ascii="Times New Roman" w:hAnsi="Times New Roman"/>
                <w:sz w:val="24"/>
                <w:szCs w:val="24"/>
              </w:rPr>
            </w:pPr>
          </w:p>
          <w:p>
            <w:pPr>
              <w:numPr>
                <w:ilvl w:val="0"/>
                <w:numId w:val="17"/>
              </w:numPr>
              <w:spacing w:after="0" w:line="240" w:lineRule="auto"/>
              <w:rPr>
                <w:rFonts w:ascii="Times New Roman" w:hAnsi="Times New Roman"/>
                <w:b/>
                <w:color w:val="FF0000"/>
                <w:szCs w:val="24"/>
              </w:rPr>
            </w:pPr>
            <w:r>
              <w:rPr>
                <w:rFonts w:ascii="Times New Roman" w:hAnsi="Times New Roman"/>
                <w:sz w:val="24"/>
                <w:szCs w:val="24"/>
              </w:rPr>
              <w:t xml:space="preserve">NPS Technical Support –  </w:t>
            </w:r>
            <w:hyperlink r:id="rId41" w:history="1">
              <w:r>
                <w:rPr>
                  <w:rFonts w:ascii="Times New Roman" w:hAnsi="Times New Roman"/>
                  <w:color w:val="0000FF"/>
                  <w:sz w:val="24"/>
                  <w:szCs w:val="24"/>
                  <w:u w:val="single"/>
                </w:rPr>
                <w:t>Cave and Karst</w:t>
              </w:r>
            </w:hyperlink>
            <w:r>
              <w:rPr>
                <w:rFonts w:ascii="Times New Roman" w:hAnsi="Times New Roman"/>
                <w:sz w:val="24"/>
                <w:szCs w:val="24"/>
              </w:rPr>
              <w:t xml:space="preserve">; </w:t>
            </w:r>
            <w:hyperlink r:id="rId42" w:history="1">
              <w:r>
                <w:rPr>
                  <w:rFonts w:ascii="Times New Roman" w:hAnsi="Times New Roman"/>
                  <w:color w:val="0000FF"/>
                  <w:sz w:val="24"/>
                  <w:szCs w:val="24"/>
                  <w:u w:val="single"/>
                </w:rPr>
                <w:t>Abandoned Mineral Lands</w:t>
              </w:r>
            </w:hyperlink>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Shrink/ Swell soils</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Damage to structure</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“heaving” of ground beneath structure</w:t>
            </w:r>
          </w:p>
          <w:p>
            <w:pPr>
              <w:numPr>
                <w:ilvl w:val="0"/>
                <w:numId w:val="4"/>
              </w:numPr>
              <w:spacing w:after="0" w:line="240" w:lineRule="auto"/>
              <w:ind w:left="216" w:hanging="144"/>
              <w:contextualSpacing/>
              <w:rPr>
                <w:rFonts w:ascii="Times New Roman" w:hAnsi="Times New Roman"/>
                <w:sz w:val="24"/>
              </w:rPr>
            </w:pPr>
            <w:r>
              <w:rPr>
                <w:rFonts w:ascii="Times New Roman" w:hAnsi="Times New Roman"/>
                <w:sz w:val="24"/>
                <w:szCs w:val="24"/>
              </w:rPr>
              <w:t>Increased landslide susceptibility</w:t>
            </w:r>
            <w:r>
              <w:rPr>
                <w:rFonts w:ascii="Times New Roman" w:hAnsi="Times New Roman"/>
                <w:sz w:val="24"/>
              </w:rPr>
              <w:t xml:space="preserve"> </w:t>
            </w:r>
          </w:p>
        </w:tc>
        <w:tc>
          <w:tcPr>
            <w:tcW w:w="2140" w:type="dxa"/>
            <w:vAlign w:val="center"/>
          </w:tcPr>
          <w:p>
            <w:pPr>
              <w:spacing w:after="0" w:line="240" w:lineRule="auto"/>
              <w:jc w:val="center"/>
              <w:rPr>
                <w:sz w:val="24"/>
              </w:rPr>
            </w:pPr>
          </w:p>
          <w:p>
            <w:pPr>
              <w:spacing w:after="0" w:line="240" w:lineRule="auto"/>
              <w:jc w:val="center"/>
              <w:rPr>
                <w:sz w:val="24"/>
              </w:rPr>
            </w:pPr>
            <w:r>
              <w:rPr>
                <w:noProof/>
                <w:sz w:val="24"/>
              </w:rPr>
              <w:drawing>
                <wp:inline distT="0" distB="0" distL="0" distR="0">
                  <wp:extent cx="1295400" cy="952500"/>
                  <wp:effectExtent l="0" t="0" r="0" b="0"/>
                  <wp:docPr id="10" name="Picture 10" title="Thumbnail image of United States soil resources inventor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ansive_ma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5400" cy="952500"/>
                          </a:xfrm>
                          <a:prstGeom prst="rect">
                            <a:avLst/>
                          </a:prstGeom>
                          <a:noFill/>
                          <a:ln>
                            <a:noFill/>
                          </a:ln>
                        </pic:spPr>
                      </pic:pic>
                    </a:graphicData>
                  </a:graphic>
                </wp:inline>
              </w:drawing>
            </w:r>
          </w:p>
          <w:p>
            <w:pPr>
              <w:spacing w:after="0" w:line="240" w:lineRule="auto"/>
              <w:jc w:val="center"/>
              <w:rPr>
                <w:sz w:val="24"/>
              </w:rPr>
            </w:pPr>
          </w:p>
        </w:tc>
        <w:tc>
          <w:tcPr>
            <w:tcW w:w="2090" w:type="dxa"/>
            <w:gridSpan w:val="2"/>
            <w:vAlign w:val="center"/>
          </w:tcPr>
          <w:p>
            <w:pPr>
              <w:numPr>
                <w:ilvl w:val="0"/>
                <w:numId w:val="18"/>
              </w:numPr>
              <w:spacing w:after="0" w:line="240" w:lineRule="auto"/>
              <w:rPr>
                <w:rFonts w:ascii="Times New Roman" w:hAnsi="Times New Roman"/>
                <w:color w:val="000000"/>
                <w:szCs w:val="24"/>
              </w:rPr>
            </w:pPr>
            <w:r>
              <w:rPr>
                <w:rFonts w:ascii="Times New Roman" w:hAnsi="Times New Roman"/>
                <w:color w:val="000000"/>
                <w:szCs w:val="24"/>
              </w:rPr>
              <w:t>State geological survey</w:t>
            </w:r>
            <w:r>
              <w:rPr>
                <w:rFonts w:ascii="Times New Roman" w:hAnsi="Times New Roman"/>
                <w:color w:val="000000"/>
                <w:szCs w:val="24"/>
              </w:rPr>
              <w:br/>
              <w:t>site-specific information</w:t>
            </w:r>
          </w:p>
          <w:p>
            <w:pPr>
              <w:spacing w:after="0" w:line="240" w:lineRule="auto"/>
              <w:ind w:left="360"/>
              <w:jc w:val="center"/>
              <w:rPr>
                <w:rFonts w:ascii="Times New Roman" w:hAnsi="Times New Roman"/>
                <w:color w:val="000000"/>
                <w:szCs w:val="24"/>
              </w:rPr>
            </w:pPr>
          </w:p>
          <w:p>
            <w:pPr>
              <w:numPr>
                <w:ilvl w:val="0"/>
                <w:numId w:val="18"/>
              </w:numPr>
              <w:spacing w:after="0" w:line="240" w:lineRule="auto"/>
              <w:rPr>
                <w:rFonts w:ascii="Times New Roman" w:hAnsi="Times New Roman"/>
                <w:color w:val="000000"/>
                <w:szCs w:val="24"/>
              </w:rPr>
            </w:pPr>
            <w:hyperlink r:id="rId45" w:history="1">
              <w:r>
                <w:rPr>
                  <w:rFonts w:ascii="Times New Roman" w:hAnsi="Times New Roman"/>
                  <w:color w:val="0000FF"/>
                  <w:szCs w:val="24"/>
                  <w:u w:val="single"/>
                </w:rPr>
                <w:t>NPS Soil Resources  Inventory</w:t>
              </w:r>
            </w:hyperlink>
          </w:p>
          <w:p>
            <w:pPr>
              <w:spacing w:after="0" w:line="240" w:lineRule="auto"/>
              <w:ind w:left="360"/>
              <w:jc w:val="center"/>
              <w:rPr>
                <w:rFonts w:ascii="Times New Roman" w:hAnsi="Times New Roman"/>
                <w:color w:val="000000"/>
                <w:szCs w:val="24"/>
              </w:rPr>
            </w:pPr>
          </w:p>
          <w:p>
            <w:pPr>
              <w:numPr>
                <w:ilvl w:val="0"/>
                <w:numId w:val="18"/>
              </w:numPr>
              <w:spacing w:after="0" w:line="240" w:lineRule="auto"/>
              <w:jc w:val="center"/>
              <w:rPr>
                <w:rFonts w:ascii="Times New Roman" w:hAnsi="Times New Roman"/>
                <w:color w:val="000000"/>
                <w:szCs w:val="24"/>
              </w:rPr>
            </w:pPr>
            <w:r>
              <w:rPr>
                <w:rFonts w:ascii="Times New Roman" w:hAnsi="Times New Roman"/>
                <w:sz w:val="24"/>
                <w:szCs w:val="24"/>
              </w:rPr>
              <w:fldChar w:fldCharType="begin"/>
            </w:r>
            <w:r>
              <w:rPr>
                <w:rFonts w:ascii="Times New Roman" w:hAnsi="Times New Roman"/>
                <w:sz w:val="24"/>
                <w:szCs w:val="24"/>
              </w:rPr>
              <w:instrText xml:space="preserve"> HYPERLINK "http://www.nature.nps.gov/geology/soils/index.cfm" </w:instrText>
            </w:r>
            <w:r>
              <w:rPr>
                <w:rFonts w:ascii="Times New Roman" w:hAnsi="Times New Roman"/>
                <w:sz w:val="24"/>
                <w:szCs w:val="24"/>
              </w:rPr>
              <w:fldChar w:fldCharType="separate"/>
            </w:r>
            <w:r>
              <w:rPr>
                <w:rFonts w:ascii="Times New Roman" w:hAnsi="Times New Roman"/>
                <w:color w:val="0000FF"/>
                <w:sz w:val="24"/>
                <w:szCs w:val="24"/>
                <w:u w:val="single"/>
              </w:rPr>
              <w:t>NPS Technical Support</w:t>
            </w:r>
          </w:p>
          <w:p>
            <w:pPr>
              <w:spacing w:after="0" w:line="240" w:lineRule="auto"/>
              <w:jc w:val="center"/>
              <w:rPr>
                <w:rFonts w:ascii="Times New Roman" w:hAnsi="Times New Roman"/>
                <w:b/>
                <w:color w:val="000000"/>
                <w:szCs w:val="24"/>
              </w:rPr>
            </w:pPr>
            <w:r>
              <w:rPr>
                <w:rFonts w:ascii="Times New Roman" w:hAnsi="Times New Roman"/>
                <w:sz w:val="24"/>
                <w:szCs w:val="24"/>
              </w:rPr>
              <w:fldChar w:fldCharType="end"/>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lastRenderedPageBreak/>
              <w:t>Coastal Storm Surge</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Rising Sea Levels </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Rising Water – Wind Driven (i.e. hurricane, nor’easter)</w:t>
            </w:r>
          </w:p>
        </w:tc>
        <w:tc>
          <w:tcPr>
            <w:tcW w:w="2140" w:type="dxa"/>
            <w:vAlign w:val="center"/>
          </w:tcPr>
          <w:p>
            <w:pPr>
              <w:spacing w:after="0" w:line="240" w:lineRule="auto"/>
              <w:jc w:val="center"/>
              <w:rPr>
                <w:rFonts w:ascii="Times New Roman" w:hAnsi="Times New Roman"/>
                <w:noProof/>
                <w:sz w:val="24"/>
                <w:szCs w:val="24"/>
              </w:rPr>
            </w:pPr>
          </w:p>
          <w:p>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295400" cy="1028700"/>
                  <wp:effectExtent l="0" t="0" r="0" b="0"/>
                  <wp:docPr id="11" name="Picture 11" title="Thumbnail image of presidential distaster declarations related to flooding shown by county from 1965 to 2003 in the United Stat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sonal.psu.edu/ksp117/wpe1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tc>
        <w:tc>
          <w:tcPr>
            <w:tcW w:w="2090" w:type="dxa"/>
            <w:gridSpan w:val="2"/>
            <w:vAlign w:val="center"/>
          </w:tcPr>
          <w:p>
            <w:pPr>
              <w:numPr>
                <w:ilvl w:val="0"/>
                <w:numId w:val="4"/>
              </w:numPr>
              <w:spacing w:after="0" w:line="240" w:lineRule="auto"/>
              <w:ind w:left="362"/>
              <w:contextualSpacing/>
              <w:rPr>
                <w:rFonts w:ascii="Times New Roman" w:hAnsi="Times New Roman"/>
                <w:sz w:val="24"/>
                <w:szCs w:val="24"/>
              </w:rPr>
            </w:pPr>
            <w:hyperlink r:id="rId48" w:history="1">
              <w:r>
                <w:rPr>
                  <w:rFonts w:ascii="Times New Roman" w:hAnsi="Times New Roman"/>
                  <w:color w:val="0000FF"/>
                  <w:sz w:val="24"/>
                  <w:szCs w:val="24"/>
                  <w:u w:val="single"/>
                </w:rPr>
                <w:t>FEMA Map Service Center</w:t>
              </w:r>
            </w:hyperlink>
          </w:p>
          <w:p>
            <w:pPr>
              <w:spacing w:after="0" w:line="240" w:lineRule="auto"/>
              <w:ind w:left="362"/>
              <w:contextualSpacing/>
              <w:jc w:val="center"/>
              <w:rPr>
                <w:rFonts w:ascii="Times New Roman" w:hAnsi="Times New Roman"/>
                <w:sz w:val="24"/>
                <w:szCs w:val="24"/>
              </w:rPr>
            </w:pPr>
          </w:p>
          <w:p>
            <w:pPr>
              <w:numPr>
                <w:ilvl w:val="0"/>
                <w:numId w:val="4"/>
              </w:numPr>
              <w:spacing w:after="0" w:line="240" w:lineRule="auto"/>
              <w:ind w:left="362"/>
              <w:contextualSpacing/>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HYPERLINK "http://www.nature.nps.gov/geology/coastal/index.cfm"</w:instrText>
            </w:r>
            <w:r>
              <w:rPr>
                <w:rFonts w:ascii="Times New Roman" w:hAnsi="Times New Roman"/>
                <w:sz w:val="24"/>
                <w:szCs w:val="24"/>
              </w:rPr>
              <w:fldChar w:fldCharType="separate"/>
            </w:r>
            <w:r>
              <w:rPr>
                <w:rFonts w:ascii="Times New Roman" w:hAnsi="Times New Roman"/>
                <w:color w:val="0000FF"/>
                <w:sz w:val="24"/>
                <w:szCs w:val="24"/>
                <w:u w:val="single"/>
              </w:rPr>
              <w:t>NPS Technical Support</w:t>
            </w:r>
          </w:p>
          <w:p>
            <w:pPr>
              <w:spacing w:after="0" w:line="240" w:lineRule="auto"/>
              <w:ind w:left="362"/>
              <w:contextualSpacing/>
              <w:jc w:val="center"/>
              <w:rPr>
                <w:rFonts w:ascii="Times New Roman" w:hAnsi="Times New Roman"/>
                <w:sz w:val="24"/>
                <w:szCs w:val="24"/>
              </w:rPr>
            </w:pPr>
            <w:r>
              <w:rPr>
                <w:rFonts w:ascii="Times New Roman" w:hAnsi="Times New Roman"/>
                <w:sz w:val="24"/>
                <w:szCs w:val="24"/>
              </w:rPr>
              <w:fldChar w:fldCharType="end"/>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pPr>
          </w:p>
        </w:tc>
      </w:tr>
      <w:tr>
        <w:trPr>
          <w:cantSplit/>
        </w:trPr>
        <w:tc>
          <w:tcPr>
            <w:tcW w:w="1368" w:type="dxa"/>
            <w:vAlign w:val="center"/>
          </w:tcPr>
          <w:p>
            <w:pPr>
              <w:spacing w:after="0" w:line="240" w:lineRule="auto"/>
              <w:jc w:val="center"/>
              <w:rPr>
                <w:rFonts w:ascii="Times New Roman" w:hAnsi="Times New Roman"/>
              </w:rPr>
            </w:pPr>
            <w:r>
              <w:rPr>
                <w:rFonts w:ascii="Times New Roman" w:hAnsi="Times New Roman"/>
              </w:rPr>
              <w:t>Tsunami</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Coastal area inundation  associated with earthquakes or undersea landslides. </w:t>
            </w:r>
          </w:p>
        </w:tc>
        <w:tc>
          <w:tcPr>
            <w:tcW w:w="2140" w:type="dxa"/>
            <w:vAlign w:val="center"/>
          </w:tcPr>
          <w:p>
            <w:pPr>
              <w:spacing w:after="0" w:line="240" w:lineRule="auto"/>
              <w:jc w:val="center"/>
              <w:rPr>
                <w:noProof/>
              </w:rPr>
            </w:pPr>
          </w:p>
          <w:p>
            <w:pPr>
              <w:spacing w:after="0" w:line="240" w:lineRule="auto"/>
              <w:jc w:val="center"/>
              <w:rPr>
                <w:noProof/>
              </w:rPr>
            </w:pPr>
            <w:r>
              <w:rPr>
                <w:noProof/>
              </w:rPr>
              <w:drawing>
                <wp:inline distT="0" distB="0" distL="0" distR="0">
                  <wp:extent cx="1371600" cy="838200"/>
                  <wp:effectExtent l="0" t="0" r="0" b="0"/>
                  <wp:docPr id="12" name="Picture 12" title="Thumbnail image of North America tsunami warn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unam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noFill/>
                          <a:ln>
                            <a:noFill/>
                          </a:ln>
                        </pic:spPr>
                      </pic:pic>
                    </a:graphicData>
                  </a:graphic>
                </wp:inline>
              </w:drawing>
            </w:r>
          </w:p>
          <w:p>
            <w:pPr>
              <w:spacing w:after="0" w:line="240" w:lineRule="auto"/>
              <w:jc w:val="center"/>
              <w:rPr>
                <w:noProof/>
              </w:rPr>
            </w:pPr>
          </w:p>
        </w:tc>
        <w:tc>
          <w:tcPr>
            <w:tcW w:w="2090" w:type="dxa"/>
            <w:gridSpan w:val="2"/>
          </w:tcPr>
          <w:p>
            <w:pPr>
              <w:numPr>
                <w:ilvl w:val="0"/>
                <w:numId w:val="5"/>
              </w:numPr>
              <w:spacing w:after="0" w:line="240" w:lineRule="auto"/>
              <w:ind w:left="241" w:hanging="270"/>
              <w:contextualSpacing/>
              <w:rPr>
                <w:rFonts w:ascii="Times New Roman" w:hAnsi="Times New Roman"/>
                <w:sz w:val="24"/>
                <w:szCs w:val="24"/>
              </w:rPr>
            </w:pPr>
            <w:r>
              <w:rPr>
                <w:rFonts w:ascii="Times New Roman" w:hAnsi="Times New Roman"/>
                <w:sz w:val="24"/>
                <w:szCs w:val="24"/>
              </w:rPr>
              <w:t xml:space="preserve">State Tsunami Inundation Mapping e.g. </w:t>
            </w:r>
            <w:hyperlink r:id="rId51" w:history="1">
              <w:r>
                <w:rPr>
                  <w:rFonts w:ascii="Times New Roman" w:hAnsi="Times New Roman"/>
                  <w:color w:val="0000FF"/>
                  <w:sz w:val="24"/>
                  <w:szCs w:val="24"/>
                  <w:u w:val="single"/>
                </w:rPr>
                <w:t>OR Tsunami Clearinghouse</w:t>
              </w:r>
            </w:hyperlink>
          </w:p>
          <w:p>
            <w:pPr>
              <w:spacing w:after="0" w:line="240" w:lineRule="auto"/>
              <w:ind w:left="241"/>
              <w:contextualSpacing/>
              <w:rPr>
                <w:rFonts w:ascii="Times New Roman" w:hAnsi="Times New Roman"/>
                <w:sz w:val="24"/>
                <w:szCs w:val="24"/>
              </w:rPr>
            </w:pPr>
          </w:p>
          <w:p>
            <w:pPr>
              <w:numPr>
                <w:ilvl w:val="0"/>
                <w:numId w:val="5"/>
              </w:numPr>
              <w:spacing w:after="0" w:line="240" w:lineRule="auto"/>
              <w:ind w:left="241" w:hanging="270"/>
              <w:contextualSpacing/>
              <w:rPr>
                <w:rFonts w:ascii="Times New Roman" w:hAnsi="Times New Roman"/>
                <w:sz w:val="24"/>
                <w:szCs w:val="24"/>
              </w:rPr>
            </w:pPr>
            <w:r>
              <w:rPr>
                <w:rFonts w:ascii="Times New Roman" w:hAnsi="Times New Roman"/>
                <w:sz w:val="24"/>
                <w:szCs w:val="24"/>
              </w:rPr>
              <w:t>National Tsunami Watch Center</w:t>
            </w:r>
          </w:p>
          <w:p>
            <w:pPr>
              <w:spacing w:after="0" w:line="240" w:lineRule="auto"/>
              <w:rPr>
                <w:rFonts w:ascii="Times New Roman" w:hAnsi="Times New Roman"/>
                <w:sz w:val="24"/>
                <w:szCs w:val="24"/>
              </w:rPr>
            </w:pPr>
          </w:p>
          <w:p>
            <w:pPr>
              <w:numPr>
                <w:ilvl w:val="0"/>
                <w:numId w:val="5"/>
              </w:numPr>
              <w:spacing w:after="0" w:line="240" w:lineRule="auto"/>
              <w:ind w:left="241" w:hanging="270"/>
              <w:contextualSpacing/>
              <w:rPr>
                <w:rFonts w:ascii="Times New Roman" w:hAnsi="Times New Roman"/>
                <w:sz w:val="24"/>
                <w:szCs w:val="24"/>
              </w:rPr>
            </w:pPr>
            <w:hyperlink r:id="rId52" w:history="1">
              <w:r>
                <w:rPr>
                  <w:rFonts w:ascii="Times New Roman" w:hAnsi="Times New Roman"/>
                  <w:color w:val="0000FF"/>
                  <w:sz w:val="24"/>
                  <w:szCs w:val="24"/>
                  <w:u w:val="single"/>
                </w:rPr>
                <w:t>NPS Technical Support</w:t>
              </w:r>
            </w:hyperlink>
            <w:r>
              <w:rPr>
                <w:rFonts w:ascii="Times New Roman" w:hAnsi="Times New Roman"/>
                <w:sz w:val="24"/>
                <w:szCs w:val="24"/>
              </w:rPr>
              <w:t xml:space="preserve"> </w:t>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Riverine Flood</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Flooding (i.e. snowmelt, rainfall, etc.)</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Destruction of infrastructure.</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Stream channel migration.</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Stream bank erosion.</w:t>
            </w:r>
          </w:p>
        </w:tc>
        <w:tc>
          <w:tcPr>
            <w:tcW w:w="2140" w:type="dxa"/>
            <w:vAlign w:val="center"/>
          </w:tcPr>
          <w:p>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1295400" cy="1028700"/>
                  <wp:effectExtent l="0" t="0" r="0" b="0"/>
                  <wp:docPr id="13" name="Picture 13" title="Thumbnail image of presidential distaster declarations related to flooding shown by county from 1965 to 2003 in the United Stat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sonal.psu.edu/ksp117/wpe1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tc>
        <w:tc>
          <w:tcPr>
            <w:tcW w:w="2090" w:type="dxa"/>
            <w:gridSpan w:val="2"/>
          </w:tcPr>
          <w:p>
            <w:pPr>
              <w:numPr>
                <w:ilvl w:val="0"/>
                <w:numId w:val="4"/>
              </w:numPr>
              <w:spacing w:after="0" w:line="240" w:lineRule="auto"/>
              <w:ind w:left="241" w:hanging="180"/>
              <w:contextualSpacing/>
              <w:rPr>
                <w:rFonts w:ascii="Times New Roman" w:hAnsi="Times New Roman"/>
                <w:sz w:val="24"/>
                <w:szCs w:val="24"/>
              </w:rPr>
            </w:pPr>
            <w:hyperlink r:id="rId53" w:history="1">
              <w:r>
                <w:rPr>
                  <w:rFonts w:ascii="Times New Roman" w:hAnsi="Times New Roman"/>
                  <w:color w:val="0000FF"/>
                  <w:sz w:val="24"/>
                  <w:szCs w:val="24"/>
                  <w:u w:val="single"/>
                </w:rPr>
                <w:t>FEMA Map Service Center</w:t>
              </w:r>
            </w:hyperlink>
          </w:p>
          <w:p>
            <w:pPr>
              <w:spacing w:after="0" w:line="240" w:lineRule="auto"/>
              <w:rPr>
                <w:rFonts w:ascii="Times New Roman" w:hAnsi="Times New Roman"/>
                <w:sz w:val="24"/>
                <w:szCs w:val="24"/>
              </w:rPr>
            </w:pPr>
          </w:p>
          <w:p>
            <w:pPr>
              <w:numPr>
                <w:ilvl w:val="0"/>
                <w:numId w:val="4"/>
              </w:numPr>
              <w:spacing w:after="0" w:line="240" w:lineRule="auto"/>
              <w:ind w:left="241" w:hanging="180"/>
              <w:contextualSpacing/>
              <w:rPr>
                <w:rFonts w:ascii="Times New Roman" w:hAnsi="Times New Roman"/>
                <w:sz w:val="24"/>
                <w:szCs w:val="24"/>
              </w:rPr>
            </w:pPr>
            <w:hyperlink r:id="rId54" w:history="1">
              <w:r>
                <w:rPr>
                  <w:rFonts w:ascii="Times New Roman" w:hAnsi="Times New Roman"/>
                  <w:color w:val="0000FF"/>
                  <w:sz w:val="24"/>
                  <w:szCs w:val="24"/>
                  <w:u w:val="single"/>
                </w:rPr>
                <w:t>NPS Technical Support</w:t>
              </w:r>
            </w:hyperlink>
          </w:p>
          <w:p>
            <w:pPr>
              <w:spacing w:after="0" w:line="240" w:lineRule="auto"/>
              <w:ind w:left="61"/>
              <w:contextualSpacing/>
              <w:rPr>
                <w:rFonts w:ascii="Times New Roman" w:hAnsi="Times New Roman"/>
                <w:sz w:val="24"/>
                <w:szCs w:val="24"/>
              </w:rPr>
            </w:pP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Flash Flood</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Sudden rising water (i.e. dry wash)</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Loss of life due to unexpected flooding.</w:t>
            </w:r>
          </w:p>
        </w:tc>
        <w:tc>
          <w:tcPr>
            <w:tcW w:w="2140" w:type="dxa"/>
            <w:vAlign w:val="center"/>
          </w:tcPr>
          <w:p>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1295400" cy="1028700"/>
                  <wp:effectExtent l="0" t="0" r="0" b="0"/>
                  <wp:docPr id="14" name="Picture 14" title="Thumbnail image of presidential distaster declarations related to flooding shown by county from 1965 to 2003 in the United Stat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rsonal.psu.edu/ksp117/wpe1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tc>
        <w:tc>
          <w:tcPr>
            <w:tcW w:w="2090" w:type="dxa"/>
            <w:gridSpan w:val="2"/>
          </w:tcPr>
          <w:p>
            <w:pPr>
              <w:numPr>
                <w:ilvl w:val="0"/>
                <w:numId w:val="4"/>
              </w:numPr>
              <w:spacing w:after="0" w:line="240" w:lineRule="auto"/>
              <w:ind w:left="241" w:hanging="180"/>
              <w:contextualSpacing/>
              <w:rPr>
                <w:rFonts w:ascii="Times New Roman" w:hAnsi="Times New Roman"/>
                <w:sz w:val="24"/>
                <w:szCs w:val="24"/>
              </w:rPr>
            </w:pPr>
            <w:r>
              <w:rPr>
                <w:rFonts w:ascii="Times New Roman" w:hAnsi="Times New Roman"/>
                <w:sz w:val="24"/>
                <w:szCs w:val="24"/>
              </w:rPr>
              <w:t>May require a special flood study</w:t>
            </w:r>
          </w:p>
          <w:p>
            <w:pPr>
              <w:spacing w:after="0" w:line="240" w:lineRule="auto"/>
              <w:ind w:left="241"/>
              <w:contextualSpacing/>
              <w:rPr>
                <w:rFonts w:ascii="Times New Roman" w:hAnsi="Times New Roman"/>
                <w:sz w:val="24"/>
                <w:szCs w:val="24"/>
              </w:rPr>
            </w:pPr>
          </w:p>
          <w:p>
            <w:pPr>
              <w:numPr>
                <w:ilvl w:val="0"/>
                <w:numId w:val="4"/>
              </w:numPr>
              <w:spacing w:after="0" w:line="240" w:lineRule="auto"/>
              <w:ind w:left="241" w:hanging="180"/>
              <w:contextualSpacing/>
              <w:rPr>
                <w:rFonts w:ascii="Times New Roman" w:hAnsi="Times New Roman"/>
                <w:sz w:val="24"/>
                <w:szCs w:val="24"/>
              </w:rPr>
            </w:pPr>
            <w:r>
              <w:rPr>
                <w:rFonts w:ascii="Times New Roman" w:hAnsi="Times New Roman"/>
                <w:color w:val="0000FF"/>
                <w:sz w:val="24"/>
                <w:szCs w:val="24"/>
                <w:u w:val="single"/>
              </w:rPr>
              <w:t>NPS Technical Support</w:t>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lastRenderedPageBreak/>
              <w:t>Hurricane</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High wind speed.</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Flying debris.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Storm Surge. </w:t>
            </w:r>
          </w:p>
        </w:tc>
        <w:tc>
          <w:tcPr>
            <w:tcW w:w="2140" w:type="dxa"/>
            <w:vAlign w:val="center"/>
          </w:tcPr>
          <w:p>
            <w:pPr>
              <w:spacing w:after="0" w:line="240" w:lineRule="auto"/>
              <w:jc w:val="center"/>
            </w:pPr>
          </w:p>
          <w:p>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295400" cy="781050"/>
                  <wp:effectExtent l="0" t="0" r="0" b="0"/>
                  <wp:docPr id="15" name="Picture 15" title="Thumbnail image of United States showing hurricane return period. Click on thumbnail to view larger ima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781050"/>
                          </a:xfrm>
                          <a:prstGeom prst="rect">
                            <a:avLst/>
                          </a:prstGeom>
                          <a:noFill/>
                          <a:ln>
                            <a:noFill/>
                          </a:ln>
                        </pic:spPr>
                      </pic:pic>
                    </a:graphicData>
                  </a:graphic>
                </wp:inline>
              </w:drawing>
            </w:r>
          </w:p>
          <w:p>
            <w:pPr>
              <w:spacing w:after="0" w:line="240" w:lineRule="auto"/>
              <w:jc w:val="center"/>
              <w:rPr>
                <w:rFonts w:ascii="Times New Roman" w:hAnsi="Times New Roman"/>
                <w:sz w:val="24"/>
                <w:szCs w:val="24"/>
              </w:rPr>
            </w:pPr>
          </w:p>
        </w:tc>
        <w:tc>
          <w:tcPr>
            <w:tcW w:w="2090" w:type="dxa"/>
            <w:gridSpan w:val="2"/>
          </w:tcPr>
          <w:p>
            <w:pPr>
              <w:numPr>
                <w:ilvl w:val="0"/>
                <w:numId w:val="13"/>
              </w:numPr>
              <w:spacing w:after="0" w:line="240" w:lineRule="auto"/>
              <w:contextualSpacing/>
              <w:rPr>
                <w:rFonts w:ascii="Times New Roman" w:hAnsi="Times New Roman"/>
                <w:sz w:val="24"/>
                <w:szCs w:val="24"/>
              </w:rPr>
            </w:pPr>
            <w:r>
              <w:rPr>
                <w:rFonts w:ascii="Times New Roman" w:hAnsi="Times New Roman"/>
                <w:sz w:val="24"/>
                <w:szCs w:val="24"/>
              </w:rPr>
              <w:t xml:space="preserve">Wind Speed data – from local codes </w:t>
            </w:r>
          </w:p>
          <w:p>
            <w:pPr>
              <w:numPr>
                <w:ilvl w:val="0"/>
                <w:numId w:val="13"/>
              </w:numPr>
              <w:spacing w:after="0" w:line="240" w:lineRule="auto"/>
              <w:rPr>
                <w:rFonts w:ascii="Times New Roman" w:hAnsi="Times New Roman"/>
                <w:sz w:val="24"/>
                <w:szCs w:val="24"/>
              </w:rPr>
            </w:pPr>
            <w:r>
              <w:rPr>
                <w:rFonts w:ascii="Times New Roman" w:hAnsi="Times New Roman"/>
                <w:sz w:val="24"/>
                <w:szCs w:val="24"/>
              </w:rPr>
              <w:t>International Building Code</w:t>
            </w:r>
          </w:p>
          <w:p>
            <w:pPr>
              <w:spacing w:after="0" w:line="240" w:lineRule="auto"/>
              <w:rPr>
                <w:rFonts w:ascii="Times New Roman" w:hAnsi="Times New Roman"/>
                <w:sz w:val="24"/>
                <w:szCs w:val="24"/>
              </w:rPr>
            </w:pPr>
          </w:p>
          <w:p>
            <w:pPr>
              <w:numPr>
                <w:ilvl w:val="0"/>
                <w:numId w:val="13"/>
              </w:numPr>
              <w:spacing w:after="0" w:line="240" w:lineRule="auto"/>
              <w:contextualSpacing/>
              <w:rPr>
                <w:rFonts w:ascii="Times New Roman" w:hAnsi="Times New Roman"/>
                <w:sz w:val="24"/>
                <w:szCs w:val="24"/>
              </w:rPr>
            </w:pPr>
            <w:hyperlink r:id="rId57" w:history="1">
              <w:r>
                <w:rPr>
                  <w:rFonts w:ascii="Times New Roman" w:hAnsi="Times New Roman"/>
                  <w:color w:val="0000FF"/>
                  <w:sz w:val="24"/>
                  <w:szCs w:val="24"/>
                  <w:u w:val="single"/>
                </w:rPr>
                <w:t>FEMA Map Service Center</w:t>
              </w:r>
            </w:hyperlink>
          </w:p>
          <w:p>
            <w:pPr>
              <w:spacing w:after="0" w:line="240" w:lineRule="auto"/>
              <w:rPr>
                <w:rFonts w:ascii="Times New Roman" w:hAnsi="Times New Roman"/>
                <w:sz w:val="24"/>
                <w:szCs w:val="24"/>
              </w:rPr>
            </w:pPr>
          </w:p>
          <w:p>
            <w:pPr>
              <w:numPr>
                <w:ilvl w:val="0"/>
                <w:numId w:val="13"/>
              </w:numPr>
              <w:spacing w:after="0" w:line="240" w:lineRule="auto"/>
              <w:contextualSpacing/>
              <w:rPr>
                <w:rFonts w:ascii="Times New Roman" w:hAnsi="Times New Roman"/>
                <w:sz w:val="24"/>
                <w:szCs w:val="24"/>
              </w:rPr>
            </w:pPr>
            <w:hyperlink r:id="rId58" w:history="1">
              <w:r>
                <w:rPr>
                  <w:rFonts w:ascii="Times New Roman" w:hAnsi="Times New Roman"/>
                  <w:color w:val="0000FF"/>
                  <w:sz w:val="24"/>
                  <w:szCs w:val="24"/>
                  <w:u w:val="single"/>
                </w:rPr>
                <w:t>NPS Technical Support</w:t>
              </w:r>
            </w:hyperlink>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Tornado</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Extreme wind speed</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Flying debris</w:t>
            </w:r>
          </w:p>
        </w:tc>
        <w:tc>
          <w:tcPr>
            <w:tcW w:w="2140" w:type="dxa"/>
          </w:tcPr>
          <w:p>
            <w:pPr>
              <w:spacing w:after="0" w:line="240" w:lineRule="auto"/>
            </w:pPr>
          </w:p>
          <w:p>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333500" cy="876300"/>
                  <wp:effectExtent l="0" t="0" r="0" b="0"/>
                  <wp:docPr id="16" name="Picture 16" title="Thumbnail image of United States showing average number of tornadoes per year. Click on thumbnail to view larger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o.ucar.edu/kids/dangerwx/images/TornadoFreq.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a:noFill/>
                          </a:ln>
                        </pic:spPr>
                      </pic:pic>
                    </a:graphicData>
                  </a:graphic>
                </wp:inline>
              </w:drawing>
            </w:r>
            <w:r>
              <w:rPr>
                <w:rFonts w:ascii="Times New Roman" w:hAnsi="Times New Roman"/>
                <w:sz w:val="24"/>
                <w:szCs w:val="24"/>
              </w:rPr>
              <w:t xml:space="preserve">  </w:t>
            </w:r>
          </w:p>
        </w:tc>
        <w:tc>
          <w:tcPr>
            <w:tcW w:w="2090" w:type="dxa"/>
            <w:gridSpan w:val="2"/>
          </w:tcPr>
          <w:p>
            <w:pPr>
              <w:numPr>
                <w:ilvl w:val="0"/>
                <w:numId w:val="13"/>
              </w:numPr>
              <w:spacing w:after="0" w:line="240" w:lineRule="auto"/>
              <w:rPr>
                <w:rFonts w:ascii="Times New Roman" w:hAnsi="Times New Roman"/>
                <w:sz w:val="24"/>
                <w:szCs w:val="24"/>
              </w:rPr>
            </w:pPr>
            <w:r>
              <w:rPr>
                <w:rFonts w:ascii="Times New Roman" w:hAnsi="Times New Roman"/>
                <w:sz w:val="24"/>
                <w:szCs w:val="24"/>
              </w:rPr>
              <w:t>International Building Code</w:t>
            </w:r>
          </w:p>
          <w:p>
            <w:pPr>
              <w:spacing w:after="0" w:line="240" w:lineRule="auto"/>
              <w:ind w:left="360"/>
              <w:rPr>
                <w:rFonts w:ascii="Times New Roman" w:hAnsi="Times New Roman"/>
                <w:sz w:val="24"/>
                <w:szCs w:val="24"/>
              </w:rPr>
            </w:pPr>
          </w:p>
          <w:p>
            <w:pPr>
              <w:numPr>
                <w:ilvl w:val="0"/>
                <w:numId w:val="15"/>
              </w:numPr>
              <w:spacing w:after="0" w:line="240" w:lineRule="auto"/>
              <w:rPr>
                <w:rFonts w:ascii="Times New Roman" w:hAnsi="Times New Roman"/>
                <w:sz w:val="24"/>
                <w:szCs w:val="24"/>
              </w:rPr>
            </w:pPr>
            <w:r>
              <w:rPr>
                <w:rFonts w:ascii="Times New Roman" w:hAnsi="Times New Roman"/>
                <w:sz w:val="24"/>
                <w:szCs w:val="24"/>
              </w:rPr>
              <w:t>Limited Data for Local Application</w:t>
            </w:r>
          </w:p>
          <w:p>
            <w:pPr>
              <w:spacing w:after="0" w:line="240" w:lineRule="auto"/>
              <w:ind w:left="360"/>
              <w:rPr>
                <w:rFonts w:ascii="Times New Roman" w:hAnsi="Times New Roman"/>
                <w:sz w:val="24"/>
                <w:szCs w:val="24"/>
              </w:rPr>
            </w:pPr>
          </w:p>
          <w:p>
            <w:pPr>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NPS Technical Support </w:t>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t>Wildfire</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Fire and Heat.</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Smoke.</w:t>
            </w:r>
          </w:p>
          <w:p>
            <w:pPr>
              <w:spacing w:after="0" w:line="240" w:lineRule="auto"/>
              <w:rPr>
                <w:rFonts w:ascii="Times New Roman" w:hAnsi="Times New Roman"/>
                <w:sz w:val="24"/>
                <w:szCs w:val="24"/>
              </w:rPr>
            </w:pPr>
          </w:p>
        </w:tc>
        <w:tc>
          <w:tcPr>
            <w:tcW w:w="2160" w:type="dxa"/>
            <w:gridSpan w:val="2"/>
            <w:vAlign w:val="center"/>
          </w:tcPr>
          <w:p>
            <w:pPr>
              <w:spacing w:after="0" w:line="240" w:lineRule="auto"/>
              <w:jc w:val="center"/>
            </w:pPr>
          </w:p>
          <w:p>
            <w:pPr>
              <w:spacing w:after="0" w:line="240" w:lineRule="auto"/>
              <w:jc w:val="center"/>
              <w:rPr>
                <w:rFonts w:ascii="Times New Roman" w:hAnsi="Times New Roman"/>
                <w:sz w:val="24"/>
                <w:szCs w:val="24"/>
              </w:rPr>
            </w:pPr>
            <w:r>
              <w:rPr>
                <w:noProof/>
              </w:rPr>
              <w:drawing>
                <wp:inline distT="0" distB="0" distL="0" distR="0">
                  <wp:extent cx="1257300" cy="1028700"/>
                  <wp:effectExtent l="0" t="0" r="0" b="0"/>
                  <wp:docPr id="17" name="Picture 17" title="Thumbnail image of United States and Puerto Rico showing wildfires. Click on thumbnail to view larger im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fi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pPr>
              <w:spacing w:after="0" w:line="240" w:lineRule="auto"/>
              <w:jc w:val="center"/>
              <w:rPr>
                <w:rFonts w:ascii="Times New Roman" w:hAnsi="Times New Roman"/>
                <w:sz w:val="24"/>
                <w:szCs w:val="24"/>
              </w:rPr>
            </w:pPr>
          </w:p>
        </w:tc>
        <w:tc>
          <w:tcPr>
            <w:tcW w:w="2070" w:type="dxa"/>
          </w:tcPr>
          <w:p>
            <w:pPr>
              <w:numPr>
                <w:ilvl w:val="0"/>
                <w:numId w:val="5"/>
              </w:numPr>
              <w:spacing w:after="0" w:line="240" w:lineRule="auto"/>
              <w:ind w:left="241" w:hanging="270"/>
              <w:contextualSpacing/>
              <w:rPr>
                <w:rFonts w:ascii="Times New Roman" w:hAnsi="Times New Roman"/>
                <w:sz w:val="24"/>
                <w:szCs w:val="24"/>
              </w:rPr>
            </w:pPr>
            <w:r>
              <w:rPr>
                <w:rFonts w:ascii="Times New Roman" w:hAnsi="Times New Roman"/>
                <w:sz w:val="24"/>
                <w:szCs w:val="24"/>
              </w:rPr>
              <w:t>International Wildland-Urban Interface Code</w:t>
            </w:r>
          </w:p>
          <w:p>
            <w:pPr>
              <w:spacing w:after="0" w:line="240" w:lineRule="auto"/>
              <w:ind w:left="-29"/>
              <w:contextualSpacing/>
              <w:rPr>
                <w:rFonts w:ascii="Times New Roman" w:hAnsi="Times New Roman"/>
                <w:sz w:val="24"/>
                <w:szCs w:val="24"/>
              </w:rPr>
            </w:pPr>
          </w:p>
          <w:p>
            <w:pPr>
              <w:numPr>
                <w:ilvl w:val="0"/>
                <w:numId w:val="5"/>
              </w:numPr>
              <w:spacing w:after="0" w:line="240" w:lineRule="auto"/>
              <w:ind w:left="241" w:hanging="270"/>
              <w:contextualSpacing/>
              <w:rPr>
                <w:rFonts w:ascii="Times New Roman" w:hAnsi="Times New Roman"/>
                <w:sz w:val="24"/>
                <w:szCs w:val="24"/>
              </w:rPr>
            </w:pPr>
            <w:r>
              <w:rPr>
                <w:rFonts w:ascii="Times New Roman" w:hAnsi="Times New Roman"/>
                <w:sz w:val="24"/>
                <w:szCs w:val="24"/>
              </w:rPr>
              <w:t xml:space="preserve">Limited Data for Local Application </w:t>
            </w:r>
          </w:p>
          <w:p>
            <w:pPr>
              <w:spacing w:after="0" w:line="240" w:lineRule="auto"/>
              <w:ind w:left="-29"/>
              <w:contextualSpacing/>
              <w:rPr>
                <w:rFonts w:ascii="Times New Roman" w:hAnsi="Times New Roman"/>
                <w:sz w:val="24"/>
                <w:szCs w:val="24"/>
              </w:rPr>
            </w:pPr>
          </w:p>
          <w:p>
            <w:pPr>
              <w:numPr>
                <w:ilvl w:val="0"/>
                <w:numId w:val="5"/>
              </w:numPr>
              <w:spacing w:after="0" w:line="240" w:lineRule="auto"/>
              <w:ind w:left="241" w:hanging="270"/>
              <w:contextualSpacing/>
              <w:rPr>
                <w:rFonts w:ascii="Times New Roman" w:hAnsi="Times New Roman"/>
                <w:sz w:val="24"/>
                <w:szCs w:val="24"/>
              </w:rPr>
            </w:pPr>
            <w:hyperlink r:id="rId63" w:history="1">
              <w:r>
                <w:rPr>
                  <w:rStyle w:val="Hyperlink"/>
                  <w:rFonts w:ascii="Times New Roman" w:hAnsi="Times New Roman"/>
                  <w:sz w:val="24"/>
                  <w:szCs w:val="24"/>
                </w:rPr>
                <w:t>NPS Technical Support</w:t>
              </w:r>
            </w:hyperlink>
            <w:r>
              <w:rPr>
                <w:rFonts w:ascii="Times New Roman" w:hAnsi="Times New Roman"/>
                <w:sz w:val="24"/>
                <w:szCs w:val="24"/>
              </w:rPr>
              <w:br/>
            </w:r>
            <w:r>
              <w:rPr>
                <w:rFonts w:ascii="Times New Roman" w:hAnsi="Times New Roman"/>
                <w:i/>
                <w:sz w:val="18"/>
                <w:szCs w:val="18"/>
                <w:shd w:val="clear" w:color="auto" w:fill="FFFFFF"/>
              </w:rPr>
              <w:t>Note: This link routes to an NPS intranet site which is only accessible within the NPS network.</w:t>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szCs w:val="24"/>
              </w:rPr>
              <w:lastRenderedPageBreak/>
              <w:t>Volcanic Eruption</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hyperlink r:id="rId64" w:history="1">
              <w:r>
                <w:rPr>
                  <w:rFonts w:ascii="Times New Roman" w:hAnsi="Times New Roman"/>
                  <w:color w:val="0000FF"/>
                  <w:sz w:val="24"/>
                  <w:szCs w:val="24"/>
                  <w:u w:val="single"/>
                </w:rPr>
                <w:t>Lava Flows</w:t>
              </w:r>
            </w:hyperlink>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Fire</w:t>
            </w:r>
          </w:p>
          <w:p>
            <w:pPr>
              <w:numPr>
                <w:ilvl w:val="0"/>
                <w:numId w:val="4"/>
              </w:numPr>
              <w:spacing w:after="0" w:line="240" w:lineRule="auto"/>
              <w:ind w:left="216" w:hanging="144"/>
              <w:contextualSpacing/>
              <w:rPr>
                <w:rFonts w:ascii="Times New Roman" w:hAnsi="Times New Roman"/>
                <w:sz w:val="24"/>
                <w:szCs w:val="24"/>
              </w:rPr>
            </w:pPr>
            <w:hyperlink r:id="rId65" w:history="1">
              <w:r>
                <w:rPr>
                  <w:rStyle w:val="Hyperlink"/>
                  <w:rFonts w:ascii="Times New Roman" w:hAnsi="Times New Roman"/>
                  <w:sz w:val="24"/>
                  <w:szCs w:val="24"/>
                </w:rPr>
                <w:t>Volcanic Secondary Hazards</w:t>
              </w:r>
            </w:hyperlink>
            <w:r>
              <w:rPr>
                <w:rFonts w:ascii="Times New Roman" w:hAnsi="Times New Roman"/>
                <w:sz w:val="24"/>
                <w:szCs w:val="24"/>
              </w:rPr>
              <w:br/>
            </w:r>
            <w:r>
              <w:rPr>
                <w:rFonts w:ascii="Times New Roman" w:hAnsi="Times New Roman"/>
                <w:i/>
                <w:sz w:val="18"/>
                <w:szCs w:val="18"/>
                <w:shd w:val="clear" w:color="auto" w:fill="FFFFFF"/>
              </w:rPr>
              <w:t>Note: This link routes to an NPS intranet site which is only accessible within the NPS network.</w:t>
            </w:r>
          </w:p>
          <w:p>
            <w:pPr>
              <w:numPr>
                <w:ilvl w:val="0"/>
                <w:numId w:val="4"/>
              </w:numPr>
              <w:spacing w:after="0" w:line="240" w:lineRule="auto"/>
              <w:ind w:left="216" w:hanging="144"/>
              <w:contextualSpacing/>
              <w:rPr>
                <w:rFonts w:ascii="Times New Roman" w:hAnsi="Times New Roman"/>
                <w:sz w:val="24"/>
                <w:szCs w:val="24"/>
              </w:rPr>
            </w:pPr>
            <w:hyperlink r:id="rId66" w:history="1">
              <w:r>
                <w:rPr>
                  <w:rFonts w:ascii="Times New Roman" w:hAnsi="Times New Roman"/>
                  <w:color w:val="0000FF"/>
                  <w:sz w:val="24"/>
                  <w:szCs w:val="24"/>
                  <w:u w:val="single"/>
                </w:rPr>
                <w:t>Toxic gas releases</w:t>
              </w:r>
            </w:hyperlink>
          </w:p>
        </w:tc>
        <w:tc>
          <w:tcPr>
            <w:tcW w:w="2160" w:type="dxa"/>
            <w:gridSpan w:val="2"/>
          </w:tcPr>
          <w:p>
            <w:pPr>
              <w:spacing w:after="0" w:line="240" w:lineRule="auto"/>
              <w:jc w:val="center"/>
            </w:pPr>
          </w:p>
          <w:p>
            <w:pPr>
              <w:spacing w:after="0" w:line="240" w:lineRule="auto"/>
              <w:jc w:val="center"/>
              <w:rPr>
                <w:rFonts w:ascii="Times New Roman" w:hAnsi="Times New Roman"/>
                <w:sz w:val="24"/>
                <w:szCs w:val="24"/>
              </w:rPr>
            </w:pPr>
            <w:bookmarkStart w:id="0" w:name="_GoBack"/>
            <w:bookmarkEnd w:id="0"/>
            <w:r>
              <w:rPr>
                <w:rFonts w:ascii="Times New Roman" w:hAnsi="Times New Roman"/>
                <w:noProof/>
                <w:sz w:val="24"/>
                <w:szCs w:val="24"/>
              </w:rPr>
              <w:drawing>
                <wp:inline distT="0" distB="0" distL="0" distR="0">
                  <wp:extent cx="1390650" cy="933450"/>
                  <wp:effectExtent l="0" t="0" r="0" b="0"/>
                  <wp:docPr id="18" name="Picture 18" title="Thumbnail image of United States showing volcano hazard based on activity in the last 15,000 years. Click on thumbnail to view larger imag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p>
          <w:p>
            <w:pPr>
              <w:spacing w:after="0" w:line="240" w:lineRule="auto"/>
              <w:jc w:val="center"/>
              <w:rPr>
                <w:rFonts w:ascii="Times New Roman" w:hAnsi="Times New Roman"/>
                <w:sz w:val="24"/>
                <w:szCs w:val="24"/>
              </w:rPr>
            </w:pPr>
          </w:p>
        </w:tc>
        <w:tc>
          <w:tcPr>
            <w:tcW w:w="2070" w:type="dxa"/>
          </w:tcPr>
          <w:p>
            <w:pPr>
              <w:numPr>
                <w:ilvl w:val="0"/>
                <w:numId w:val="16"/>
              </w:numPr>
              <w:spacing w:after="0" w:line="240" w:lineRule="auto"/>
              <w:rPr>
                <w:rFonts w:ascii="Times New Roman" w:hAnsi="Times New Roman"/>
                <w:color w:val="0000FF"/>
                <w:sz w:val="24"/>
                <w:szCs w:val="24"/>
                <w:u w:val="single"/>
              </w:rPr>
            </w:pPr>
            <w:hyperlink r:id="rId69" w:history="1">
              <w:r>
                <w:rPr>
                  <w:rFonts w:ascii="Times New Roman" w:hAnsi="Times New Roman"/>
                  <w:color w:val="0000FF"/>
                  <w:sz w:val="24"/>
                  <w:szCs w:val="24"/>
                </w:rPr>
                <w:t>USGS Volcano Hazards Program</w:t>
              </w:r>
            </w:hyperlink>
          </w:p>
          <w:p>
            <w:pPr>
              <w:spacing w:after="0" w:line="240" w:lineRule="auto"/>
              <w:rPr>
                <w:rFonts w:ascii="Times New Roman" w:hAnsi="Times New Roman"/>
                <w:color w:val="0000FF"/>
                <w:sz w:val="24"/>
                <w:szCs w:val="24"/>
                <w:u w:val="single"/>
              </w:rPr>
            </w:pPr>
          </w:p>
          <w:p>
            <w:pPr>
              <w:spacing w:after="0" w:line="240" w:lineRule="auto"/>
              <w:rPr>
                <w:rFonts w:ascii="Times New Roman" w:hAnsi="Times New Roman"/>
                <w:color w:val="0000FF"/>
                <w:sz w:val="24"/>
                <w:szCs w:val="24"/>
                <w:u w:val="single"/>
              </w:rPr>
            </w:pPr>
          </w:p>
          <w:p>
            <w:pPr>
              <w:numPr>
                <w:ilvl w:val="0"/>
                <w:numId w:val="16"/>
              </w:numPr>
              <w:spacing w:after="0" w:line="240" w:lineRule="auto"/>
              <w:rPr>
                <w:rFonts w:ascii="Times New Roman" w:hAnsi="Times New Roman"/>
                <w:sz w:val="24"/>
                <w:szCs w:val="24"/>
              </w:rPr>
            </w:pPr>
            <w:hyperlink r:id="rId70" w:history="1">
              <w:r>
                <w:rPr>
                  <w:rFonts w:ascii="Times New Roman" w:hAnsi="Times New Roman"/>
                  <w:color w:val="0000FF"/>
                  <w:sz w:val="24"/>
                  <w:szCs w:val="24"/>
                  <w:u w:val="single"/>
                </w:rPr>
                <w:t>NPS Technical Support</w:t>
              </w:r>
            </w:hyperlink>
            <w:r>
              <w:rPr>
                <w:rFonts w:ascii="Times New Roman" w:hAnsi="Times New Roman"/>
                <w:sz w:val="24"/>
                <w:szCs w:val="24"/>
              </w:rPr>
              <w:t xml:space="preserve"> </w:t>
            </w:r>
          </w:p>
        </w:tc>
        <w:tc>
          <w:tcPr>
            <w:tcW w:w="1898" w:type="dxa"/>
            <w:gridSpan w:val="2"/>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cantSplit/>
        </w:trPr>
        <w:tc>
          <w:tcPr>
            <w:tcW w:w="1368" w:type="dxa"/>
            <w:vAlign w:val="center"/>
          </w:tcPr>
          <w:p>
            <w:pPr>
              <w:spacing w:after="0" w:line="240" w:lineRule="auto"/>
              <w:jc w:val="center"/>
              <w:rPr>
                <w:rFonts w:ascii="Times New Roman" w:hAnsi="Times New Roman"/>
                <w:sz w:val="24"/>
                <w:szCs w:val="24"/>
              </w:rPr>
            </w:pPr>
            <w:r>
              <w:rPr>
                <w:rFonts w:ascii="Times New Roman" w:hAnsi="Times New Roman"/>
                <w:sz w:val="24"/>
              </w:rPr>
              <w:t>Hydro-thermal Activity (e.g., geysers</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Toxic gas release.</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Explosion.</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Boiling water</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Steam.</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Surface collapse into void. </w:t>
            </w:r>
          </w:p>
        </w:tc>
        <w:tc>
          <w:tcPr>
            <w:tcW w:w="2160" w:type="dxa"/>
            <w:gridSpan w:val="2"/>
          </w:tcPr>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r>
              <w:t>TBD</w:t>
            </w:r>
          </w:p>
        </w:tc>
        <w:tc>
          <w:tcPr>
            <w:tcW w:w="2070" w:type="dxa"/>
          </w:tcPr>
          <w:p>
            <w:pPr>
              <w:numPr>
                <w:ilvl w:val="0"/>
                <w:numId w:val="18"/>
              </w:numPr>
              <w:spacing w:after="0" w:line="240" w:lineRule="auto"/>
              <w:rPr>
                <w:rFonts w:ascii="Times New Roman" w:hAnsi="Times New Roman"/>
                <w:color w:val="000000"/>
                <w:sz w:val="24"/>
                <w:szCs w:val="24"/>
              </w:rPr>
            </w:pPr>
            <w:hyperlink r:id="rId71" w:history="1">
              <w:r>
                <w:rPr>
                  <w:rFonts w:ascii="Times New Roman" w:hAnsi="Times New Roman"/>
                  <w:color w:val="0000FF"/>
                  <w:sz w:val="24"/>
                  <w:szCs w:val="24"/>
                  <w:u w:val="single"/>
                </w:rPr>
                <w:t xml:space="preserve">Air quality issues and monitoring, including real-time for select locations. </w:t>
              </w:r>
            </w:hyperlink>
            <w:r>
              <w:rPr>
                <w:rFonts w:ascii="Times New Roman" w:hAnsi="Times New Roman"/>
                <w:color w:val="000000"/>
                <w:sz w:val="24"/>
                <w:szCs w:val="24"/>
              </w:rPr>
              <w:t xml:space="preserve"> </w:t>
            </w:r>
          </w:p>
          <w:p>
            <w:pPr>
              <w:spacing w:after="0" w:line="240" w:lineRule="auto"/>
              <w:ind w:left="360"/>
              <w:rPr>
                <w:rFonts w:ascii="Times New Roman" w:hAnsi="Times New Roman"/>
                <w:color w:val="000000"/>
                <w:sz w:val="24"/>
                <w:szCs w:val="24"/>
              </w:rPr>
            </w:pPr>
          </w:p>
          <w:p>
            <w:pPr>
              <w:numPr>
                <w:ilvl w:val="0"/>
                <w:numId w:val="18"/>
              </w:numPr>
              <w:spacing w:after="0" w:line="240" w:lineRule="auto"/>
              <w:rPr>
                <w:rFonts w:ascii="Times New Roman" w:hAnsi="Times New Roman"/>
                <w:b/>
                <w:color w:val="000000"/>
                <w:sz w:val="24"/>
                <w:szCs w:val="24"/>
              </w:rPr>
            </w:pPr>
            <w:hyperlink r:id="rId72" w:history="1">
              <w:r>
                <w:rPr>
                  <w:rFonts w:ascii="Times New Roman" w:hAnsi="Times New Roman"/>
                  <w:color w:val="0000FF"/>
                  <w:sz w:val="24"/>
                  <w:szCs w:val="24"/>
                  <w:u w:val="single"/>
                </w:rPr>
                <w:t>NPS Technical support</w:t>
              </w:r>
            </w:hyperlink>
            <w:r>
              <w:rPr>
                <w:rFonts w:ascii="Times New Roman" w:hAnsi="Times New Roman"/>
                <w:b/>
                <w:color w:val="000000"/>
                <w:sz w:val="24"/>
                <w:szCs w:val="24"/>
              </w:rPr>
              <w:t xml:space="preserve"> </w:t>
            </w:r>
          </w:p>
        </w:tc>
        <w:tc>
          <w:tcPr>
            <w:tcW w:w="1898" w:type="dxa"/>
            <w:gridSpan w:val="2"/>
            <w:vAlign w:val="center"/>
          </w:tcPr>
          <w:p>
            <w:pPr>
              <w:spacing w:after="0" w:line="240" w:lineRule="auto"/>
              <w:jc w:val="center"/>
              <w:rPr>
                <w:color w:val="00B050"/>
                <w:sz w:val="48"/>
              </w:rPr>
            </w:pPr>
            <w:r>
              <w:t xml:space="preserve">Potential Hazard </w:t>
            </w: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r>
        <w:trPr>
          <w:gridAfter w:val="1"/>
          <w:wAfter w:w="8" w:type="dxa"/>
          <w:cantSplit/>
        </w:trPr>
        <w:tc>
          <w:tcPr>
            <w:tcW w:w="1368" w:type="dxa"/>
            <w:vAlign w:val="center"/>
          </w:tcPr>
          <w:p>
            <w:pPr>
              <w:spacing w:after="0" w:line="240" w:lineRule="auto"/>
              <w:jc w:val="center"/>
              <w:rPr>
                <w:rFonts w:ascii="Times New Roman" w:hAnsi="Times New Roman"/>
              </w:rPr>
            </w:pPr>
            <w:r>
              <w:rPr>
                <w:rFonts w:ascii="Times New Roman" w:hAnsi="Times New Roman"/>
              </w:rPr>
              <w:t>Pest Infestation</w:t>
            </w:r>
          </w:p>
        </w:tc>
        <w:tc>
          <w:tcPr>
            <w:tcW w:w="2070" w:type="dxa"/>
            <w:vAlign w:val="center"/>
          </w:tcPr>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 xml:space="preserve">Historic/ Facility Fabric Loss </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Vegetation Loss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Fauna Impacts</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Infection</w:t>
            </w:r>
          </w:p>
          <w:p>
            <w:pPr>
              <w:numPr>
                <w:ilvl w:val="0"/>
                <w:numId w:val="4"/>
              </w:numPr>
              <w:spacing w:after="0" w:line="240" w:lineRule="auto"/>
              <w:ind w:left="216" w:hanging="144"/>
              <w:contextualSpacing/>
              <w:rPr>
                <w:rFonts w:ascii="Times New Roman" w:hAnsi="Times New Roman"/>
                <w:sz w:val="24"/>
                <w:szCs w:val="24"/>
              </w:rPr>
            </w:pPr>
            <w:r>
              <w:rPr>
                <w:rFonts w:ascii="Times New Roman" w:hAnsi="Times New Roman"/>
                <w:sz w:val="24"/>
                <w:szCs w:val="24"/>
              </w:rPr>
              <w:t>Injury</w:t>
            </w:r>
          </w:p>
        </w:tc>
        <w:tc>
          <w:tcPr>
            <w:tcW w:w="2160" w:type="dxa"/>
            <w:gridSpan w:val="2"/>
            <w:vAlign w:val="center"/>
          </w:tcPr>
          <w:p>
            <w:pPr>
              <w:spacing w:after="0" w:line="240" w:lineRule="auto"/>
              <w:jc w:val="center"/>
            </w:pPr>
            <w:r>
              <w:t>TBD</w:t>
            </w:r>
          </w:p>
        </w:tc>
        <w:tc>
          <w:tcPr>
            <w:tcW w:w="2070" w:type="dxa"/>
          </w:tcPr>
          <w:p>
            <w:pPr>
              <w:spacing w:after="0" w:line="240" w:lineRule="auto"/>
              <w:jc w:val="center"/>
              <w:rPr>
                <w:rFonts w:ascii="Times New Roman" w:hAnsi="Times New Roman"/>
                <w:b/>
                <w:color w:val="FF0000"/>
                <w:szCs w:val="24"/>
              </w:rPr>
            </w:pPr>
          </w:p>
          <w:p>
            <w:pPr>
              <w:numPr>
                <w:ilvl w:val="0"/>
                <w:numId w:val="18"/>
              </w:numPr>
              <w:spacing w:after="0" w:line="240" w:lineRule="auto"/>
              <w:rPr>
                <w:rFonts w:ascii="Times New Roman" w:hAnsi="Times New Roman"/>
                <w:b/>
                <w:color w:val="FF0000"/>
                <w:szCs w:val="24"/>
              </w:rPr>
            </w:pPr>
            <w:r>
              <w:rPr>
                <w:rFonts w:ascii="Times New Roman" w:hAnsi="Times New Roman"/>
                <w:sz w:val="24"/>
                <w:lang w:val="en"/>
              </w:rPr>
              <w:t>Integrated Pest Management</w:t>
            </w:r>
          </w:p>
          <w:p>
            <w:pPr>
              <w:spacing w:after="0" w:line="240" w:lineRule="auto"/>
              <w:ind w:left="360"/>
              <w:rPr>
                <w:rFonts w:ascii="Times New Roman" w:hAnsi="Times New Roman"/>
                <w:b/>
                <w:color w:val="FF0000"/>
                <w:szCs w:val="24"/>
              </w:rPr>
            </w:pPr>
          </w:p>
          <w:p>
            <w:pPr>
              <w:spacing w:after="0" w:line="240" w:lineRule="auto"/>
              <w:ind w:left="360"/>
              <w:rPr>
                <w:rFonts w:ascii="Times New Roman" w:hAnsi="Times New Roman"/>
                <w:b/>
                <w:color w:val="FF0000"/>
                <w:szCs w:val="24"/>
              </w:rPr>
            </w:pPr>
          </w:p>
          <w:p>
            <w:pPr>
              <w:numPr>
                <w:ilvl w:val="0"/>
                <w:numId w:val="18"/>
              </w:numPr>
              <w:spacing w:after="0" w:line="240" w:lineRule="auto"/>
              <w:rPr>
                <w:rFonts w:ascii="Times New Roman" w:hAnsi="Times New Roman"/>
                <w:b/>
                <w:color w:val="FF0000"/>
                <w:szCs w:val="24"/>
              </w:rPr>
            </w:pPr>
            <w:hyperlink r:id="rId73" w:history="1">
              <w:r>
                <w:rPr>
                  <w:rFonts w:ascii="Times New Roman" w:hAnsi="Times New Roman"/>
                  <w:color w:val="0000FF"/>
                  <w:sz w:val="24"/>
                  <w:szCs w:val="24"/>
                  <w:u w:val="single"/>
                </w:rPr>
                <w:t>NPS Technical Support</w:t>
              </w:r>
            </w:hyperlink>
          </w:p>
        </w:tc>
        <w:tc>
          <w:tcPr>
            <w:tcW w:w="1890" w:type="dxa"/>
            <w:vAlign w:val="center"/>
          </w:tcPr>
          <w:p>
            <w:pPr>
              <w:spacing w:after="0" w:line="240" w:lineRule="auto"/>
              <w:jc w:val="center"/>
            </w:pPr>
            <w:r>
              <w:t xml:space="preserve">Potential Hazard </w:t>
            </w:r>
          </w:p>
          <w:p>
            <w:pPr>
              <w:spacing w:after="0" w:line="240" w:lineRule="auto"/>
              <w:jc w:val="center"/>
              <w:rPr>
                <w:color w:val="00B050"/>
                <w:sz w:val="48"/>
              </w:rPr>
            </w:pPr>
            <w:r>
              <w:rPr>
                <w:color w:val="00B050"/>
                <w:sz w:val="48"/>
              </w:rPr>
              <w:sym w:font="Wingdings" w:char="F0A8"/>
            </w:r>
          </w:p>
          <w:p>
            <w:pPr>
              <w:spacing w:after="0" w:line="240" w:lineRule="auto"/>
              <w:jc w:val="center"/>
            </w:pPr>
          </w:p>
          <w:p>
            <w:pPr>
              <w:spacing w:after="0" w:line="240" w:lineRule="auto"/>
              <w:jc w:val="center"/>
            </w:pPr>
            <w:r>
              <w:t>Not applicable</w:t>
            </w:r>
          </w:p>
          <w:p>
            <w:pPr>
              <w:spacing w:after="0" w:line="240" w:lineRule="auto"/>
              <w:jc w:val="center"/>
              <w:rPr>
                <w:color w:val="00B050"/>
                <w:sz w:val="48"/>
              </w:rPr>
            </w:pPr>
            <w:r>
              <w:rPr>
                <w:color w:val="00B050"/>
                <w:sz w:val="48"/>
              </w:rPr>
              <w:sym w:font="Wingdings" w:char="F0A8"/>
            </w:r>
          </w:p>
          <w:p>
            <w:pPr>
              <w:spacing w:after="0" w:line="240" w:lineRule="auto"/>
              <w:jc w:val="center"/>
            </w:pPr>
          </w:p>
        </w:tc>
      </w:tr>
    </w:tbl>
    <w:p>
      <w:pPr>
        <w:spacing w:after="0" w:line="240" w:lineRule="auto"/>
      </w:pPr>
      <w:r>
        <w:rPr>
          <w:rFonts w:ascii="Times New Roman" w:hAnsi="Times New Roman"/>
          <w:color w:val="000000"/>
          <w:sz w:val="24"/>
          <w:szCs w:val="24"/>
        </w:rPr>
        <w:t xml:space="preserve"> </w:t>
      </w:r>
    </w:p>
    <w:sectPr>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680"/>
        <w:tab w:val="clear" w:pos="9360"/>
        <w:tab w:val="left" w:pos="1440"/>
        <w:tab w:val="center" w:pos="6120"/>
        <w:tab w:val="right" w:pos="10800"/>
      </w:tabs>
    </w:pPr>
    <w:r>
      <w:tab/>
    </w:r>
    <w:r>
      <w:fldChar w:fldCharType="begin"/>
    </w:r>
    <w:r>
      <w:instrText xml:space="preserve"> DATE \@ "M/d/yy" </w:instrText>
    </w:r>
    <w:r>
      <w:fldChar w:fldCharType="separate"/>
    </w:r>
    <w:r>
      <w:rPr>
        <w:noProof/>
      </w:rPr>
      <w:t>12/4/17</w:t>
    </w:r>
    <w:r>
      <w:fldChar w:fldCharType="end"/>
    </w:r>
    <w:r>
      <w:tab/>
      <w:t xml:space="preserve">Page </w:t>
    </w:r>
    <w:r>
      <w:rPr>
        <w:b/>
      </w:rPr>
      <w:fldChar w:fldCharType="begin"/>
    </w:r>
    <w:r>
      <w:rPr>
        <w:b/>
      </w:rPr>
      <w:instrText xml:space="preserve"> PAGE  \* Arabic  \* MERGEFORMAT </w:instrText>
    </w:r>
    <w:r>
      <w:rPr>
        <w:b/>
      </w:rPr>
      <w:fldChar w:fldCharType="separate"/>
    </w:r>
    <w:r>
      <w:rPr>
        <w:b/>
        <w:noProof/>
      </w:rPr>
      <w:t>1</w:t>
    </w:r>
    <w:r>
      <w:rPr>
        <w:b/>
      </w:rPr>
      <w:fldChar w:fldCharType="end"/>
    </w:r>
    <w:r>
      <w:t xml:space="preserve"> of </w:t>
    </w:r>
    <w:fldSimple w:instr=" NUMPAGES  \* Arabic  \* MERGEFORMAT ">
      <w:r>
        <w:rPr>
          <w:noProof/>
        </w:rPr>
        <w:t>7</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 xml:space="preserve"> DATE \@ "M/d/yy" </w:instrText>
    </w:r>
    <w:r>
      <w:fldChar w:fldCharType="separate"/>
    </w:r>
    <w:r>
      <w:rPr>
        <w:noProof/>
      </w:rPr>
      <w:t>12/4/17</w:t>
    </w:r>
    <w:r>
      <w:fldChar w:fldCharType="end"/>
    </w:r>
    <w:r>
      <w:tab/>
      <w:t xml:space="preserve">Page </w:t>
    </w:r>
    <w:r>
      <w:rPr>
        <w:b/>
      </w:rPr>
      <w:fldChar w:fldCharType="begin"/>
    </w:r>
    <w:r>
      <w:rPr>
        <w:b/>
      </w:rPr>
      <w:instrText xml:space="preserve"> PAGE  \* Arabic  \* MERGEFORMAT </w:instrText>
    </w:r>
    <w:r>
      <w:rPr>
        <w:b/>
      </w:rPr>
      <w:fldChar w:fldCharType="separate"/>
    </w:r>
    <w:r>
      <w:rPr>
        <w:b/>
        <w:noProof/>
      </w:rPr>
      <w:t>7</w:t>
    </w:r>
    <w:r>
      <w:rPr>
        <w:b/>
      </w:rPr>
      <w:fldChar w:fldCharType="end"/>
    </w:r>
    <w:r>
      <w:t xml:space="preserve"> of </w:t>
    </w:r>
    <w:fldSimple w:instr=" NUMPAGES  \* Arabic  \* MERGEFORMAT ">
      <w:r>
        <w:rPr>
          <w:noProof/>
        </w:rPr>
        <w:t>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999"/>
    <w:multiLevelType w:val="hybridMultilevel"/>
    <w:tmpl w:val="B6AEB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DB05B8"/>
    <w:multiLevelType w:val="hybridMultilevel"/>
    <w:tmpl w:val="EC0AD2F8"/>
    <w:lvl w:ilvl="0" w:tplc="F1B07362">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E77FD"/>
    <w:multiLevelType w:val="hybridMultilevel"/>
    <w:tmpl w:val="0A362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E55291"/>
    <w:multiLevelType w:val="hybridMultilevel"/>
    <w:tmpl w:val="BFBAB2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3E09D9"/>
    <w:multiLevelType w:val="hybridMultilevel"/>
    <w:tmpl w:val="FA320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ED705B"/>
    <w:multiLevelType w:val="hybridMultilevel"/>
    <w:tmpl w:val="12C0BFE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9050A60"/>
    <w:multiLevelType w:val="hybridMultilevel"/>
    <w:tmpl w:val="EAEAB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420470"/>
    <w:multiLevelType w:val="hybridMultilevel"/>
    <w:tmpl w:val="EE40C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4C5DCF"/>
    <w:multiLevelType w:val="hybridMultilevel"/>
    <w:tmpl w:val="32765A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753F1E"/>
    <w:multiLevelType w:val="hybridMultilevel"/>
    <w:tmpl w:val="233E5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B643D6"/>
    <w:multiLevelType w:val="hybridMultilevel"/>
    <w:tmpl w:val="769840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B4D42C1"/>
    <w:multiLevelType w:val="hybridMultilevel"/>
    <w:tmpl w:val="E5F81562"/>
    <w:lvl w:ilvl="0" w:tplc="723CD4C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276551"/>
    <w:multiLevelType w:val="hybridMultilevel"/>
    <w:tmpl w:val="1BA4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3271B"/>
    <w:multiLevelType w:val="hybridMultilevel"/>
    <w:tmpl w:val="B4B61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079F9"/>
    <w:multiLevelType w:val="hybridMultilevel"/>
    <w:tmpl w:val="324E2804"/>
    <w:lvl w:ilvl="0" w:tplc="F1B07362">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C11F96"/>
    <w:multiLevelType w:val="multilevel"/>
    <w:tmpl w:val="715E880E"/>
    <w:lvl w:ilvl="0">
      <w:start w:val="1"/>
      <w:numFmt w:val="decimal"/>
      <w:lvlText w:val="%1."/>
      <w:lvlJc w:val="left"/>
      <w:pPr>
        <w:ind w:left="360" w:hanging="360"/>
      </w:pPr>
      <w:rPr>
        <w:rFonts w:hint="default"/>
        <w:color w:val="auto"/>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685C5927"/>
    <w:multiLevelType w:val="hybridMultilevel"/>
    <w:tmpl w:val="DF16D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006018"/>
    <w:multiLevelType w:val="hybridMultilevel"/>
    <w:tmpl w:val="6624E83A"/>
    <w:lvl w:ilvl="0" w:tplc="04090001">
      <w:start w:val="1"/>
      <w:numFmt w:val="bullet"/>
      <w:lvlText w:val=""/>
      <w:lvlJc w:val="left"/>
      <w:pPr>
        <w:ind w:left="122" w:hanging="360"/>
      </w:pPr>
      <w:rPr>
        <w:rFonts w:ascii="Symbol" w:hAnsi="Symbol" w:hint="default"/>
      </w:rPr>
    </w:lvl>
    <w:lvl w:ilvl="1" w:tplc="04090003" w:tentative="1">
      <w:start w:val="1"/>
      <w:numFmt w:val="bullet"/>
      <w:lvlText w:val="o"/>
      <w:lvlJc w:val="left"/>
      <w:pPr>
        <w:ind w:left="842" w:hanging="360"/>
      </w:pPr>
      <w:rPr>
        <w:rFonts w:ascii="Courier New" w:hAnsi="Courier New" w:cs="Courier New" w:hint="default"/>
      </w:rPr>
    </w:lvl>
    <w:lvl w:ilvl="2" w:tplc="04090005" w:tentative="1">
      <w:start w:val="1"/>
      <w:numFmt w:val="bullet"/>
      <w:lvlText w:val=""/>
      <w:lvlJc w:val="left"/>
      <w:pPr>
        <w:ind w:left="1562" w:hanging="360"/>
      </w:pPr>
      <w:rPr>
        <w:rFonts w:ascii="Wingdings" w:hAnsi="Wingdings" w:hint="default"/>
      </w:rPr>
    </w:lvl>
    <w:lvl w:ilvl="3" w:tplc="04090001" w:tentative="1">
      <w:start w:val="1"/>
      <w:numFmt w:val="bullet"/>
      <w:lvlText w:val=""/>
      <w:lvlJc w:val="left"/>
      <w:pPr>
        <w:ind w:left="2282" w:hanging="360"/>
      </w:pPr>
      <w:rPr>
        <w:rFonts w:ascii="Symbol" w:hAnsi="Symbol" w:hint="default"/>
      </w:rPr>
    </w:lvl>
    <w:lvl w:ilvl="4" w:tplc="04090003" w:tentative="1">
      <w:start w:val="1"/>
      <w:numFmt w:val="bullet"/>
      <w:lvlText w:val="o"/>
      <w:lvlJc w:val="left"/>
      <w:pPr>
        <w:ind w:left="3002" w:hanging="360"/>
      </w:pPr>
      <w:rPr>
        <w:rFonts w:ascii="Courier New" w:hAnsi="Courier New" w:cs="Courier New" w:hint="default"/>
      </w:rPr>
    </w:lvl>
    <w:lvl w:ilvl="5" w:tplc="04090005" w:tentative="1">
      <w:start w:val="1"/>
      <w:numFmt w:val="bullet"/>
      <w:lvlText w:val=""/>
      <w:lvlJc w:val="left"/>
      <w:pPr>
        <w:ind w:left="3722" w:hanging="360"/>
      </w:pPr>
      <w:rPr>
        <w:rFonts w:ascii="Wingdings" w:hAnsi="Wingdings" w:hint="default"/>
      </w:rPr>
    </w:lvl>
    <w:lvl w:ilvl="6" w:tplc="04090001" w:tentative="1">
      <w:start w:val="1"/>
      <w:numFmt w:val="bullet"/>
      <w:lvlText w:val=""/>
      <w:lvlJc w:val="left"/>
      <w:pPr>
        <w:ind w:left="4442" w:hanging="360"/>
      </w:pPr>
      <w:rPr>
        <w:rFonts w:ascii="Symbol" w:hAnsi="Symbol" w:hint="default"/>
      </w:rPr>
    </w:lvl>
    <w:lvl w:ilvl="7" w:tplc="04090003" w:tentative="1">
      <w:start w:val="1"/>
      <w:numFmt w:val="bullet"/>
      <w:lvlText w:val="o"/>
      <w:lvlJc w:val="left"/>
      <w:pPr>
        <w:ind w:left="5162" w:hanging="360"/>
      </w:pPr>
      <w:rPr>
        <w:rFonts w:ascii="Courier New" w:hAnsi="Courier New" w:cs="Courier New" w:hint="default"/>
      </w:rPr>
    </w:lvl>
    <w:lvl w:ilvl="8" w:tplc="04090005" w:tentative="1">
      <w:start w:val="1"/>
      <w:numFmt w:val="bullet"/>
      <w:lvlText w:val=""/>
      <w:lvlJc w:val="left"/>
      <w:pPr>
        <w:ind w:left="5882" w:hanging="360"/>
      </w:pPr>
      <w:rPr>
        <w:rFonts w:ascii="Wingdings" w:hAnsi="Wingdings" w:hint="default"/>
      </w:rPr>
    </w:lvl>
  </w:abstractNum>
  <w:abstractNum w:abstractNumId="18">
    <w:nsid w:val="712E4658"/>
    <w:multiLevelType w:val="hybridMultilevel"/>
    <w:tmpl w:val="D33E9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33B0047"/>
    <w:multiLevelType w:val="hybridMultilevel"/>
    <w:tmpl w:val="AC34B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3"/>
  </w:num>
  <w:num w:numId="4">
    <w:abstractNumId w:val="12"/>
  </w:num>
  <w:num w:numId="5">
    <w:abstractNumId w:val="17"/>
  </w:num>
  <w:num w:numId="6">
    <w:abstractNumId w:val="11"/>
  </w:num>
  <w:num w:numId="7">
    <w:abstractNumId w:val="16"/>
  </w:num>
  <w:num w:numId="8">
    <w:abstractNumId w:val="18"/>
  </w:num>
  <w:num w:numId="9">
    <w:abstractNumId w:val="15"/>
  </w:num>
  <w:num w:numId="10">
    <w:abstractNumId w:val="7"/>
  </w:num>
  <w:num w:numId="11">
    <w:abstractNumId w:val="8"/>
  </w:num>
  <w:num w:numId="12">
    <w:abstractNumId w:val="10"/>
  </w:num>
  <w:num w:numId="13">
    <w:abstractNumId w:val="2"/>
  </w:num>
  <w:num w:numId="14">
    <w:abstractNumId w:val="4"/>
  </w:num>
  <w:num w:numId="15">
    <w:abstractNumId w:val="19"/>
  </w:num>
  <w:num w:numId="16">
    <w:abstractNumId w:val="0"/>
  </w:num>
  <w:num w:numId="17">
    <w:abstractNumId w:val="14"/>
  </w:num>
  <w:num w:numId="18">
    <w:abstractNumId w:val="1"/>
  </w:num>
  <w:num w:numId="19">
    <w:abstractNumId w:val="6"/>
  </w:num>
  <w:num w:numId="2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documentProtection w:edit="readOnly" w:formatting="1" w:enforcement="1" w:cryptProviderType="rsaFull" w:cryptAlgorithmClass="hash" w:cryptAlgorithmType="typeAny" w:cryptAlgorithmSid="4" w:cryptSpinCount="100000" w:hash="yZ2A/mur9LsnmLNacm69q4rs7EM=" w:salt="5msbNwyxmtDQPrCViUtNpw=="/>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nhideWhenUsed/>
    <w:pPr>
      <w:spacing w:line="240" w:lineRule="auto"/>
    </w:pPr>
    <w:rPr>
      <w:sz w:val="20"/>
      <w:szCs w:val="20"/>
      <w:lang w:val="x-none" w:eastAsia="x-none"/>
    </w:rPr>
  </w:style>
  <w:style w:type="character" w:customStyle="1" w:styleId="CommentTextChar">
    <w:name w:val="Comment Text Char"/>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FootnoteText">
    <w:name w:val="footnote text"/>
    <w:basedOn w:val="Normal"/>
    <w:link w:val="FootnoteTextChar"/>
    <w:uiPriority w:val="99"/>
    <w:semiHidden/>
    <w:unhideWhenUsed/>
    <w:pPr>
      <w:spacing w:after="0" w:line="240" w:lineRule="auto"/>
    </w:pPr>
    <w:rPr>
      <w:sz w:val="20"/>
      <w:szCs w:val="20"/>
      <w:lang w:val="x-none" w:eastAsia="x-none"/>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after="225" w:line="270" w:lineRule="atLeast"/>
    </w:pPr>
    <w:rPr>
      <w:rFonts w:ascii="Arial" w:eastAsia="Times New Roman" w:hAnsi="Arial" w:cs="Arial"/>
      <w:color w:val="333333"/>
      <w:sz w:val="21"/>
      <w:szCs w:val="21"/>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Title">
    <w:name w:val="Title"/>
    <w:basedOn w:val="Normal"/>
    <w:next w:val="Normal"/>
    <w:link w:val="TitleChar"/>
    <w:uiPriority w:val="10"/>
    <w:qFormat/>
    <w:pPr>
      <w:spacing w:after="0" w:line="240" w:lineRule="auto"/>
      <w:jc w:val="center"/>
    </w:pPr>
    <w:rPr>
      <w:rFonts w:ascii="Times New Roman" w:hAnsi="Times New Roman"/>
      <w:b/>
      <w:sz w:val="56"/>
      <w:szCs w:val="32"/>
    </w:rPr>
  </w:style>
  <w:style w:type="character" w:customStyle="1" w:styleId="TitleChar">
    <w:name w:val="Title Char"/>
    <w:basedOn w:val="DefaultParagraphFont"/>
    <w:link w:val="Title"/>
    <w:uiPriority w:val="10"/>
    <w:rPr>
      <w:rFonts w:ascii="Times New Roman" w:hAnsi="Times New Roman"/>
      <w:b/>
      <w:sz w:val="5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nhideWhenUsed/>
    <w:pPr>
      <w:spacing w:line="240" w:lineRule="auto"/>
    </w:pPr>
    <w:rPr>
      <w:sz w:val="20"/>
      <w:szCs w:val="20"/>
      <w:lang w:val="x-none" w:eastAsia="x-none"/>
    </w:rPr>
  </w:style>
  <w:style w:type="character" w:customStyle="1" w:styleId="CommentTextChar">
    <w:name w:val="Comment Text Char"/>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FootnoteText">
    <w:name w:val="footnote text"/>
    <w:basedOn w:val="Normal"/>
    <w:link w:val="FootnoteTextChar"/>
    <w:uiPriority w:val="99"/>
    <w:semiHidden/>
    <w:unhideWhenUsed/>
    <w:pPr>
      <w:spacing w:after="0" w:line="240" w:lineRule="auto"/>
    </w:pPr>
    <w:rPr>
      <w:sz w:val="20"/>
      <w:szCs w:val="20"/>
      <w:lang w:val="x-none" w:eastAsia="x-none"/>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after="225" w:line="270" w:lineRule="atLeast"/>
    </w:pPr>
    <w:rPr>
      <w:rFonts w:ascii="Arial" w:eastAsia="Times New Roman" w:hAnsi="Arial" w:cs="Arial"/>
      <w:color w:val="333333"/>
      <w:sz w:val="21"/>
      <w:szCs w:val="21"/>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Title">
    <w:name w:val="Title"/>
    <w:basedOn w:val="Normal"/>
    <w:next w:val="Normal"/>
    <w:link w:val="TitleChar"/>
    <w:uiPriority w:val="10"/>
    <w:qFormat/>
    <w:pPr>
      <w:spacing w:after="0" w:line="240" w:lineRule="auto"/>
      <w:jc w:val="center"/>
    </w:pPr>
    <w:rPr>
      <w:rFonts w:ascii="Times New Roman" w:hAnsi="Times New Roman"/>
      <w:b/>
      <w:sz w:val="56"/>
      <w:szCs w:val="32"/>
    </w:rPr>
  </w:style>
  <w:style w:type="character" w:customStyle="1" w:styleId="TitleChar">
    <w:name w:val="Title Char"/>
    <w:basedOn w:val="DefaultParagraphFont"/>
    <w:link w:val="Title"/>
    <w:uiPriority w:val="10"/>
    <w:rPr>
      <w:rFonts w:ascii="Times New Roman" w:hAnsi="Times New Roman"/>
      <w:b/>
      <w:sz w:val="5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03248">
      <w:bodyDiv w:val="1"/>
      <w:marLeft w:val="0"/>
      <w:marRight w:val="0"/>
      <w:marTop w:val="0"/>
      <w:marBottom w:val="0"/>
      <w:divBdr>
        <w:top w:val="none" w:sz="0" w:space="0" w:color="auto"/>
        <w:left w:val="none" w:sz="0" w:space="0" w:color="auto"/>
        <w:bottom w:val="none" w:sz="0" w:space="0" w:color="auto"/>
        <w:right w:val="none" w:sz="0" w:space="0" w:color="auto"/>
      </w:divBdr>
    </w:div>
    <w:div w:id="1633362093">
      <w:bodyDiv w:val="1"/>
      <w:marLeft w:val="0"/>
      <w:marRight w:val="0"/>
      <w:marTop w:val="0"/>
      <w:marBottom w:val="0"/>
      <w:divBdr>
        <w:top w:val="none" w:sz="0" w:space="0" w:color="auto"/>
        <w:left w:val="none" w:sz="0" w:space="0" w:color="auto"/>
        <w:bottom w:val="none" w:sz="0" w:space="0" w:color="auto"/>
        <w:right w:val="none" w:sz="0" w:space="0" w:color="auto"/>
      </w:divBdr>
      <w:divsChild>
        <w:div w:id="1196698543">
          <w:marLeft w:val="0"/>
          <w:marRight w:val="0"/>
          <w:marTop w:val="0"/>
          <w:marBottom w:val="0"/>
          <w:divBdr>
            <w:top w:val="none" w:sz="0" w:space="0" w:color="auto"/>
            <w:left w:val="single" w:sz="6" w:space="0" w:color="788A51"/>
            <w:bottom w:val="none" w:sz="0" w:space="0" w:color="auto"/>
            <w:right w:val="single" w:sz="6" w:space="0" w:color="788A51"/>
          </w:divBdr>
          <w:divsChild>
            <w:div w:id="423065026">
              <w:marLeft w:val="3015"/>
              <w:marRight w:val="12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nps.gov/dscw/upload/NaturalHazardChecklist-Images_AF_120417.pdf#page=2" TargetMode="External"/><Relationship Id="rId26" Type="http://schemas.openxmlformats.org/officeDocument/2006/relationships/hyperlink" Target="http://www.nature.nps.gov/geology/hazards/index.cfm" TargetMode="External"/><Relationship Id="rId39" Type="http://schemas.openxmlformats.org/officeDocument/2006/relationships/hyperlink" Target="https://www.nps.gov/dscw/upload/NaturalHazardChecklist-Images_AF_120417.pdf#page=7" TargetMode="Externa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hyperlink" Target="http://www.nature.nps.gov/geology/aml/index.cfm" TargetMode="External"/><Relationship Id="rId47" Type="http://schemas.openxmlformats.org/officeDocument/2006/relationships/image" Target="media/image12.jpeg"/><Relationship Id="rId50" Type="http://schemas.openxmlformats.org/officeDocument/2006/relationships/image" Target="media/image13.png"/><Relationship Id="rId55" Type="http://schemas.openxmlformats.org/officeDocument/2006/relationships/hyperlink" Target="https://www.nps.gov/dscw/upload/NaturalHazardChecklist-Images_AF_120417.pdf#page=8" TargetMode="External"/><Relationship Id="rId63" Type="http://schemas.openxmlformats.org/officeDocument/2006/relationships/hyperlink" Target="http://inside.nps.gov/waso/waso.cfm?prg=777&amp;lv=3" TargetMode="External"/><Relationship Id="rId68" Type="http://schemas.openxmlformats.org/officeDocument/2006/relationships/image" Target="media/image17.png"/><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nature.nps.gov/air/" TargetMode="External"/><Relationship Id="rId2" Type="http://schemas.openxmlformats.org/officeDocument/2006/relationships/customXml" Target="../customXml/item2.xml"/><Relationship Id="rId16" Type="http://schemas.openxmlformats.org/officeDocument/2006/relationships/hyperlink" Target="https://www.nps.gov/dscw/upload/NaturalHazardChecklist-Images_AF_120417.pdf#page=1" TargetMode="External"/><Relationship Id="rId29" Type="http://schemas.openxmlformats.org/officeDocument/2006/relationships/hyperlink" Target="http://www.conservation.ca.gov/cgs/geologic_hazards/landslides/Pages/Index.aspx" TargetMode="External"/><Relationship Id="rId11" Type="http://schemas.openxmlformats.org/officeDocument/2006/relationships/webSettings" Target="webSettings.xml"/><Relationship Id="rId24" Type="http://schemas.openxmlformats.org/officeDocument/2006/relationships/hyperlink" Target="http://geohazards.usgs.gov/eqprob/2009/" TargetMode="External"/><Relationship Id="rId32" Type="http://schemas.openxmlformats.org/officeDocument/2006/relationships/image" Target="media/image7.png"/><Relationship Id="rId37" Type="http://schemas.openxmlformats.org/officeDocument/2006/relationships/hyperlink" Target="https://www.nps.gov/dscw/upload/NaturalHazardChecklist-Images_AF_120417.pdf#page=6" TargetMode="External"/><Relationship Id="rId40" Type="http://schemas.openxmlformats.org/officeDocument/2006/relationships/image" Target="media/image10.png"/><Relationship Id="rId45" Type="http://schemas.openxmlformats.org/officeDocument/2006/relationships/hyperlink" Target="http://science.nature.nps.gov/im/inventory/soils/index.cfm" TargetMode="External"/><Relationship Id="rId53" Type="http://schemas.openxmlformats.org/officeDocument/2006/relationships/hyperlink" Target="https://msc.fema.gov/portal" TargetMode="External"/><Relationship Id="rId58" Type="http://schemas.openxmlformats.org/officeDocument/2006/relationships/hyperlink" Target="http://www.nature.nps.gov/geology/coastal/index.cfm" TargetMode="External"/><Relationship Id="rId66" Type="http://schemas.openxmlformats.org/officeDocument/2006/relationships/hyperlink" Target="http://volcanoes.usgs.gov/hazards/gas/index.php" TargetMode="External"/><Relationship Id="rId7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www.nature.nps.gov/geology/hazards/index.cfm" TargetMode="External"/><Relationship Id="rId49" Type="http://schemas.openxmlformats.org/officeDocument/2006/relationships/hyperlink" Target="http://ntwc.arh.noaa.gov/" TargetMode="External"/><Relationship Id="rId57" Type="http://schemas.openxmlformats.org/officeDocument/2006/relationships/hyperlink" Target="https://msc.fema.gov/portal" TargetMode="External"/><Relationship Id="rId61" Type="http://schemas.openxmlformats.org/officeDocument/2006/relationships/hyperlink" Target="https://www.nps.gov/dscw/upload/NaturalHazardChecklist-Images_AF_120417.pdf#page=10" TargetMode="Externa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hyperlink" Target="http://data.usgs.gov/climateMonitoring/region/show?region=alaska" TargetMode="External"/><Relationship Id="rId44" Type="http://schemas.openxmlformats.org/officeDocument/2006/relationships/image" Target="media/image11.png"/><Relationship Id="rId52" Type="http://schemas.openxmlformats.org/officeDocument/2006/relationships/hyperlink" Target="http://www.nature.nps.gov/geology/coastal/index.cfm" TargetMode="External"/><Relationship Id="rId60" Type="http://schemas.openxmlformats.org/officeDocument/2006/relationships/image" Target="media/image15.png"/><Relationship Id="rId65" Type="http://schemas.openxmlformats.org/officeDocument/2006/relationships/hyperlink" Target="http://share.inside.nps.gov/sites/WASO/PPFL/CPM/CPMD-CC/_layouts/WordViewer.aspx?id=/sites/WASO/PPFL/CPM/CPMD-CC/Shared%20Documents/Doc%20Links/Volcanic%20Flow%20Types.docx&amp;Source=http%3A%2F%2Fshare%2Einside%2Enps%2Egov%2Fsites%2FWASO%2FPPFL%2FCPM%2FCPMD%2DCC%2FSitePages%2FHome%2Easpx%3FPaged%3DTRUE%26p%5FSortBehavior%3D0%26p%5FFileLeafRef%3DNatural%2520Disaster%252ebmp%26p%5FID%3D12%26RootFolder%3D%252Fsites%252FWASO%252FPPFL%252FCPM%252FCPMD%252DCC%252FShared%2520Documents%252FDoc%2520Links%26PageFirstRow%3D16%26%26View%3D%7B7D0656C2%2DE011%2D4820%2D8688%2D0C5CAEF3792C%7D&amp;DefaultItemOpen=1&amp;DefaultItemOpen=1" TargetMode="External"/><Relationship Id="rId73" Type="http://schemas.openxmlformats.org/officeDocument/2006/relationships/hyperlink" Target="http://www.nature.nps.gov/biology/ipm/index.cfm"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https://www.nps.gov/dscw/upload/NaturalHazardChecklist-Images_AF_120417.pdf#page=4" TargetMode="External"/><Relationship Id="rId27" Type="http://schemas.openxmlformats.org/officeDocument/2006/relationships/hyperlink" Target="https://www.nps.gov/dscw/upload/NaturalHazardChecklist-Images_AF_120417.pdf#page=5" TargetMode="External"/><Relationship Id="rId30" Type="http://schemas.openxmlformats.org/officeDocument/2006/relationships/hyperlink" Target="http://www.nature.nps.gov/geology/hazards/index.cfm" TargetMode="External"/><Relationship Id="rId35" Type="http://schemas.openxmlformats.org/officeDocument/2006/relationships/hyperlink" Target="http://www.geo.uzh.ch/microsite/cryodata/pf_global/" TargetMode="External"/><Relationship Id="rId43" Type="http://schemas.openxmlformats.org/officeDocument/2006/relationships/hyperlink" Target="http://science.nature.nps.gov/im/inventory/soils/index.cfm" TargetMode="External"/><Relationship Id="rId48" Type="http://schemas.openxmlformats.org/officeDocument/2006/relationships/hyperlink" Target="https://msc.fema.gov/portal" TargetMode="External"/><Relationship Id="rId56" Type="http://schemas.openxmlformats.org/officeDocument/2006/relationships/image" Target="media/image14.png"/><Relationship Id="rId64" Type="http://schemas.openxmlformats.org/officeDocument/2006/relationships/hyperlink" Target="http://volcanoes.usgs.gov/hazards/lava/index.php" TargetMode="External"/><Relationship Id="rId69" Type="http://schemas.openxmlformats.org/officeDocument/2006/relationships/hyperlink" Target="http://volcanoes.usgs.gov/" TargetMode="External"/><Relationship Id="rId8" Type="http://schemas.openxmlformats.org/officeDocument/2006/relationships/styles" Target="styles.xml"/><Relationship Id="rId51" Type="http://schemas.openxmlformats.org/officeDocument/2006/relationships/hyperlink" Target="http://www.oregongeology.org/tsuclearinghouse/" TargetMode="External"/><Relationship Id="rId72" Type="http://schemas.openxmlformats.org/officeDocument/2006/relationships/hyperlink" Target="http://www.nature.nps.gov/geology/hazards/index.cf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www.dnr.wa.gov/ResearchScience/Topics/GeologyPublicationsLibrary/Pages/pub_ofr04-20.aspx" TargetMode="External"/><Relationship Id="rId33" Type="http://schemas.openxmlformats.org/officeDocument/2006/relationships/hyperlink" Target="http://nsidc.org/data/docs/fgdc/ggd318_map_circumarctic/" TargetMode="External"/><Relationship Id="rId38" Type="http://schemas.openxmlformats.org/officeDocument/2006/relationships/image" Target="media/image9.png"/><Relationship Id="rId46" Type="http://schemas.openxmlformats.org/officeDocument/2006/relationships/hyperlink" Target="https://msc.fema.gov/webapp/wcs/stores/servlet/FemaWelcomeView?storeId=10001&amp;catalogId=10001&amp;langId=-1" TargetMode="External"/><Relationship Id="rId59" Type="http://schemas.openxmlformats.org/officeDocument/2006/relationships/hyperlink" Target="https://www.nps.gov/dscw/upload/NaturalHazardChecklist-Images_AF_120417.pdf#page=9" TargetMode="External"/><Relationship Id="rId67" Type="http://schemas.openxmlformats.org/officeDocument/2006/relationships/hyperlink" Target="https://www.nps.gov/dscw/upload/NaturalHazardChecklist-Images_AF_120417.pdf#page=11" TargetMode="External"/><Relationship Id="rId20" Type="http://schemas.openxmlformats.org/officeDocument/2006/relationships/hyperlink" Target="https://www.nps.gov/dscw/upload/NaturalHazardChecklist-Images_AF_120417.pdf#page=3" TargetMode="External"/><Relationship Id="rId41" Type="http://schemas.openxmlformats.org/officeDocument/2006/relationships/hyperlink" Target="http://www.nature.nps.gov/geology/caves/index.cfm" TargetMode="External"/><Relationship Id="rId54" Type="http://schemas.openxmlformats.org/officeDocument/2006/relationships/hyperlink" Target="http://www.nature.nps.gov/water/" TargetMode="External"/><Relationship Id="rId62" Type="http://schemas.openxmlformats.org/officeDocument/2006/relationships/image" Target="media/image16.png"/><Relationship Id="rId70" Type="http://schemas.openxmlformats.org/officeDocument/2006/relationships/hyperlink" Target="http://www.nature.nps.gov/geology/hazards/index.cf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EDD6D-38B2-416D-9242-0463C7E18478}">
  <ds:schemaRefs>
    <ds:schemaRef ds:uri="http://schemas.openxmlformats.org/officeDocument/2006/bibliography"/>
  </ds:schemaRefs>
</ds:datastoreItem>
</file>

<file path=customXml/itemProps2.xml><?xml version="1.0" encoding="utf-8"?>
<ds:datastoreItem xmlns:ds="http://schemas.openxmlformats.org/officeDocument/2006/customXml" ds:itemID="{CE5870D7-5F8D-47C1-97E8-B75A660B86A0}">
  <ds:schemaRefs>
    <ds:schemaRef ds:uri="http://schemas.openxmlformats.org/officeDocument/2006/bibliography"/>
  </ds:schemaRefs>
</ds:datastoreItem>
</file>

<file path=customXml/itemProps3.xml><?xml version="1.0" encoding="utf-8"?>
<ds:datastoreItem xmlns:ds="http://schemas.openxmlformats.org/officeDocument/2006/customXml" ds:itemID="{DBC94367-6953-4976-BD4B-E6BE54649B31}">
  <ds:schemaRefs>
    <ds:schemaRef ds:uri="http://schemas.openxmlformats.org/officeDocument/2006/bibliography"/>
  </ds:schemaRefs>
</ds:datastoreItem>
</file>

<file path=customXml/itemProps4.xml><?xml version="1.0" encoding="utf-8"?>
<ds:datastoreItem xmlns:ds="http://schemas.openxmlformats.org/officeDocument/2006/customXml" ds:itemID="{7BFA0BF6-3E08-4427-BD10-337BE108CA99}">
  <ds:schemaRefs>
    <ds:schemaRef ds:uri="http://schemas.openxmlformats.org/officeDocument/2006/bibliography"/>
  </ds:schemaRefs>
</ds:datastoreItem>
</file>

<file path=customXml/itemProps5.xml><?xml version="1.0" encoding="utf-8"?>
<ds:datastoreItem xmlns:ds="http://schemas.openxmlformats.org/officeDocument/2006/customXml" ds:itemID="{06B28281-FEE6-4EA6-848F-CE1D5476B568}">
  <ds:schemaRefs>
    <ds:schemaRef ds:uri="http://schemas.openxmlformats.org/officeDocument/2006/bibliography"/>
  </ds:schemaRefs>
</ds:datastoreItem>
</file>

<file path=customXml/itemProps6.xml><?xml version="1.0" encoding="utf-8"?>
<ds:datastoreItem xmlns:ds="http://schemas.openxmlformats.org/officeDocument/2006/customXml" ds:itemID="{863D48AA-75A2-4781-9E62-432AECB1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1206</Words>
  <Characters>6880</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Natural Hazard Checklist, January 2015</vt:lpstr>
    </vt:vector>
  </TitlesOfParts>
  <Manager/>
  <Company/>
  <LinksUpToDate>false</LinksUpToDate>
  <CharactersWithSpaces>8070</CharactersWithSpaces>
  <SharedDoc>false</SharedDoc>
  <HLinks>
    <vt:vector size="276" baseType="variant">
      <vt:variant>
        <vt:i4>2228260</vt:i4>
      </vt:variant>
      <vt:variant>
        <vt:i4>135</vt:i4>
      </vt:variant>
      <vt:variant>
        <vt:i4>0</vt:i4>
      </vt:variant>
      <vt:variant>
        <vt:i4>5</vt:i4>
      </vt:variant>
      <vt:variant>
        <vt:lpwstr>http://www.nature.nps.gov/biology/ipm/index.cfm</vt:lpwstr>
      </vt:variant>
      <vt:variant>
        <vt:lpwstr/>
      </vt:variant>
      <vt:variant>
        <vt:i4>3801142</vt:i4>
      </vt:variant>
      <vt:variant>
        <vt:i4>132</vt:i4>
      </vt:variant>
      <vt:variant>
        <vt:i4>0</vt:i4>
      </vt:variant>
      <vt:variant>
        <vt:i4>5</vt:i4>
      </vt:variant>
      <vt:variant>
        <vt:lpwstr>http://www.nature.nps.gov/geology/hazards/index.cfm</vt:lpwstr>
      </vt:variant>
      <vt:variant>
        <vt:lpwstr/>
      </vt:variant>
      <vt:variant>
        <vt:i4>3473511</vt:i4>
      </vt:variant>
      <vt:variant>
        <vt:i4>129</vt:i4>
      </vt:variant>
      <vt:variant>
        <vt:i4>0</vt:i4>
      </vt:variant>
      <vt:variant>
        <vt:i4>5</vt:i4>
      </vt:variant>
      <vt:variant>
        <vt:lpwstr>http://nature.nps.gov/air/</vt:lpwstr>
      </vt:variant>
      <vt:variant>
        <vt:lpwstr/>
      </vt:variant>
      <vt:variant>
        <vt:i4>3801142</vt:i4>
      </vt:variant>
      <vt:variant>
        <vt:i4>126</vt:i4>
      </vt:variant>
      <vt:variant>
        <vt:i4>0</vt:i4>
      </vt:variant>
      <vt:variant>
        <vt:i4>5</vt:i4>
      </vt:variant>
      <vt:variant>
        <vt:lpwstr>http://www.nature.nps.gov/geology/hazards/index.cfm</vt:lpwstr>
      </vt:variant>
      <vt:variant>
        <vt:lpwstr/>
      </vt:variant>
      <vt:variant>
        <vt:i4>3145777</vt:i4>
      </vt:variant>
      <vt:variant>
        <vt:i4>123</vt:i4>
      </vt:variant>
      <vt:variant>
        <vt:i4>0</vt:i4>
      </vt:variant>
      <vt:variant>
        <vt:i4>5</vt:i4>
      </vt:variant>
      <vt:variant>
        <vt:lpwstr>http://volcanoes.usgs.gov/</vt:lpwstr>
      </vt:variant>
      <vt:variant>
        <vt:lpwstr/>
      </vt:variant>
      <vt:variant>
        <vt:i4>7798901</vt:i4>
      </vt:variant>
      <vt:variant>
        <vt:i4>120</vt:i4>
      </vt:variant>
      <vt:variant>
        <vt:i4>0</vt:i4>
      </vt:variant>
      <vt:variant>
        <vt:i4>5</vt:i4>
      </vt:variant>
      <vt:variant>
        <vt:lpwstr>http://www.nps.gov/dscw/upload/NaturalHazardChecklist-Images.pdf</vt:lpwstr>
      </vt:variant>
      <vt:variant>
        <vt:lpwstr>page=11</vt:lpwstr>
      </vt:variant>
      <vt:variant>
        <vt:i4>7864371</vt:i4>
      </vt:variant>
      <vt:variant>
        <vt:i4>117</vt:i4>
      </vt:variant>
      <vt:variant>
        <vt:i4>0</vt:i4>
      </vt:variant>
      <vt:variant>
        <vt:i4>5</vt:i4>
      </vt:variant>
      <vt:variant>
        <vt:lpwstr>http://volcanoes.usgs.gov/hazards/gas/index.php</vt:lpwstr>
      </vt:variant>
      <vt:variant>
        <vt:lpwstr/>
      </vt:variant>
      <vt:variant>
        <vt:i4>8257544</vt:i4>
      </vt:variant>
      <vt:variant>
        <vt:i4>114</vt:i4>
      </vt:variant>
      <vt:variant>
        <vt:i4>0</vt:i4>
      </vt:variant>
      <vt:variant>
        <vt:i4>5</vt:i4>
      </vt:variant>
      <vt:variant>
        <vt:lpwstr>http://share.inside.nps.gov/sites/WASO/PPFL/CPM/CPMD-CC/_layouts/WordViewer.aspx?id=/sites/WASO/PPFL/CPM/CPMD-CC/Shared%20Documents/Doc%20Links/Volcanic%20Flow%20Types.docx&amp;Source=http%3A%2F%2Fshare%2Einside%2Enps%2Egov%2Fsites%2FWASO%2FPPFL%2FCPM%2FCPMD%2DCC%2FSitePages%2FHome%2Easpx%3FPaged%3DTRUE%26p%5FSortBehavior%3D0%26p%5FFileLeafRef%3DNatural%2520Disaster%252ebmp%26p%5FID%3D12%26RootFolder%3D%252Fsites%252FWASO%252FPPFL%252FCPM%252FCPMD%252DCC%252FShared%2520Documents%252FDoc%2520Links%26PageFirstRow%3D16%26%26View%3D%7B7D0656C2%2DE011%2D4820%2D8688%2D0C5CAEF3792C%7D&amp;DefaultItemOpen=1&amp;DefaultItemOpen=1</vt:lpwstr>
      </vt:variant>
      <vt:variant>
        <vt:lpwstr/>
      </vt:variant>
      <vt:variant>
        <vt:i4>917594</vt:i4>
      </vt:variant>
      <vt:variant>
        <vt:i4>111</vt:i4>
      </vt:variant>
      <vt:variant>
        <vt:i4>0</vt:i4>
      </vt:variant>
      <vt:variant>
        <vt:i4>5</vt:i4>
      </vt:variant>
      <vt:variant>
        <vt:lpwstr>http://volcanoes.usgs.gov/hazards/lava/index.php</vt:lpwstr>
      </vt:variant>
      <vt:variant>
        <vt:lpwstr/>
      </vt:variant>
      <vt:variant>
        <vt:i4>196618</vt:i4>
      </vt:variant>
      <vt:variant>
        <vt:i4>108</vt:i4>
      </vt:variant>
      <vt:variant>
        <vt:i4>0</vt:i4>
      </vt:variant>
      <vt:variant>
        <vt:i4>5</vt:i4>
      </vt:variant>
      <vt:variant>
        <vt:lpwstr>http://inside.nps.gov/waso/waso.cfm?prg=777&amp;lv=3</vt:lpwstr>
      </vt:variant>
      <vt:variant>
        <vt:lpwstr/>
      </vt:variant>
      <vt:variant>
        <vt:i4>7798901</vt:i4>
      </vt:variant>
      <vt:variant>
        <vt:i4>105</vt:i4>
      </vt:variant>
      <vt:variant>
        <vt:i4>0</vt:i4>
      </vt:variant>
      <vt:variant>
        <vt:i4>5</vt:i4>
      </vt:variant>
      <vt:variant>
        <vt:lpwstr>http://www.nps.gov/dscw/upload/NaturalHazardChecklist-Images.pdf</vt:lpwstr>
      </vt:variant>
      <vt:variant>
        <vt:lpwstr>page=10</vt:lpwstr>
      </vt:variant>
      <vt:variant>
        <vt:i4>8323189</vt:i4>
      </vt:variant>
      <vt:variant>
        <vt:i4>102</vt:i4>
      </vt:variant>
      <vt:variant>
        <vt:i4>0</vt:i4>
      </vt:variant>
      <vt:variant>
        <vt:i4>5</vt:i4>
      </vt:variant>
      <vt:variant>
        <vt:lpwstr>http://www.nps.gov/dscw/upload/NaturalHazardChecklist-Images.pdf</vt:lpwstr>
      </vt:variant>
      <vt:variant>
        <vt:lpwstr>page=9</vt:lpwstr>
      </vt:variant>
      <vt:variant>
        <vt:i4>2293823</vt:i4>
      </vt:variant>
      <vt:variant>
        <vt:i4>99</vt:i4>
      </vt:variant>
      <vt:variant>
        <vt:i4>0</vt:i4>
      </vt:variant>
      <vt:variant>
        <vt:i4>5</vt:i4>
      </vt:variant>
      <vt:variant>
        <vt:lpwstr>http://www.nature.nps.gov/geology/coastal/index.cfm</vt:lpwstr>
      </vt:variant>
      <vt:variant>
        <vt:lpwstr/>
      </vt:variant>
      <vt:variant>
        <vt:i4>3801136</vt:i4>
      </vt:variant>
      <vt:variant>
        <vt:i4>96</vt:i4>
      </vt:variant>
      <vt:variant>
        <vt:i4>0</vt:i4>
      </vt:variant>
      <vt:variant>
        <vt:i4>5</vt:i4>
      </vt:variant>
      <vt:variant>
        <vt:lpwstr>https://msc.fema.gov/portal</vt:lpwstr>
      </vt:variant>
      <vt:variant>
        <vt:lpwstr/>
      </vt:variant>
      <vt:variant>
        <vt:i4>8257653</vt:i4>
      </vt:variant>
      <vt:variant>
        <vt:i4>93</vt:i4>
      </vt:variant>
      <vt:variant>
        <vt:i4>0</vt:i4>
      </vt:variant>
      <vt:variant>
        <vt:i4>5</vt:i4>
      </vt:variant>
      <vt:variant>
        <vt:lpwstr>http://www.nps.gov/dscw/upload/NaturalHazardChecklist-Images.pdf</vt:lpwstr>
      </vt:variant>
      <vt:variant>
        <vt:lpwstr>page=8</vt:lpwstr>
      </vt:variant>
      <vt:variant>
        <vt:i4>3473457</vt:i4>
      </vt:variant>
      <vt:variant>
        <vt:i4>90</vt:i4>
      </vt:variant>
      <vt:variant>
        <vt:i4>0</vt:i4>
      </vt:variant>
      <vt:variant>
        <vt:i4>5</vt:i4>
      </vt:variant>
      <vt:variant>
        <vt:lpwstr>https://msc.fema.gov/webapp/wcs/stores/servlet/FemaWelcomeView?storeId=10001&amp;catalogId=10001&amp;langId=-1</vt:lpwstr>
      </vt:variant>
      <vt:variant>
        <vt:lpwstr/>
      </vt:variant>
      <vt:variant>
        <vt:i4>5767260</vt:i4>
      </vt:variant>
      <vt:variant>
        <vt:i4>87</vt:i4>
      </vt:variant>
      <vt:variant>
        <vt:i4>0</vt:i4>
      </vt:variant>
      <vt:variant>
        <vt:i4>5</vt:i4>
      </vt:variant>
      <vt:variant>
        <vt:lpwstr>http://www.nature.nps.gov/water/</vt:lpwstr>
      </vt:variant>
      <vt:variant>
        <vt:lpwstr/>
      </vt:variant>
      <vt:variant>
        <vt:i4>3801136</vt:i4>
      </vt:variant>
      <vt:variant>
        <vt:i4>84</vt:i4>
      </vt:variant>
      <vt:variant>
        <vt:i4>0</vt:i4>
      </vt:variant>
      <vt:variant>
        <vt:i4>5</vt:i4>
      </vt:variant>
      <vt:variant>
        <vt:lpwstr>https://msc.fema.gov/portal</vt:lpwstr>
      </vt:variant>
      <vt:variant>
        <vt:lpwstr/>
      </vt:variant>
      <vt:variant>
        <vt:i4>3473457</vt:i4>
      </vt:variant>
      <vt:variant>
        <vt:i4>81</vt:i4>
      </vt:variant>
      <vt:variant>
        <vt:i4>0</vt:i4>
      </vt:variant>
      <vt:variant>
        <vt:i4>5</vt:i4>
      </vt:variant>
      <vt:variant>
        <vt:lpwstr>https://msc.fema.gov/webapp/wcs/stores/servlet/FemaWelcomeView?storeId=10001&amp;catalogId=10001&amp;langId=-1</vt:lpwstr>
      </vt:variant>
      <vt:variant>
        <vt:lpwstr/>
      </vt:variant>
      <vt:variant>
        <vt:i4>2293823</vt:i4>
      </vt:variant>
      <vt:variant>
        <vt:i4>78</vt:i4>
      </vt:variant>
      <vt:variant>
        <vt:i4>0</vt:i4>
      </vt:variant>
      <vt:variant>
        <vt:i4>5</vt:i4>
      </vt:variant>
      <vt:variant>
        <vt:lpwstr>http://www.nature.nps.gov/geology/coastal/index.cfm</vt:lpwstr>
      </vt:variant>
      <vt:variant>
        <vt:lpwstr/>
      </vt:variant>
      <vt:variant>
        <vt:i4>6881319</vt:i4>
      </vt:variant>
      <vt:variant>
        <vt:i4>75</vt:i4>
      </vt:variant>
      <vt:variant>
        <vt:i4>0</vt:i4>
      </vt:variant>
      <vt:variant>
        <vt:i4>5</vt:i4>
      </vt:variant>
      <vt:variant>
        <vt:lpwstr>http://www.oregongeology.org/tsuclearinghouse/</vt:lpwstr>
      </vt:variant>
      <vt:variant>
        <vt:lpwstr/>
      </vt:variant>
      <vt:variant>
        <vt:i4>6226009</vt:i4>
      </vt:variant>
      <vt:variant>
        <vt:i4>72</vt:i4>
      </vt:variant>
      <vt:variant>
        <vt:i4>0</vt:i4>
      </vt:variant>
      <vt:variant>
        <vt:i4>5</vt:i4>
      </vt:variant>
      <vt:variant>
        <vt:lpwstr>http://ntwc.arh.noaa.gov/</vt:lpwstr>
      </vt:variant>
      <vt:variant>
        <vt:lpwstr/>
      </vt:variant>
      <vt:variant>
        <vt:i4>2293823</vt:i4>
      </vt:variant>
      <vt:variant>
        <vt:i4>69</vt:i4>
      </vt:variant>
      <vt:variant>
        <vt:i4>0</vt:i4>
      </vt:variant>
      <vt:variant>
        <vt:i4>5</vt:i4>
      </vt:variant>
      <vt:variant>
        <vt:lpwstr>http://www.nature.nps.gov/geology/coastal/index.cfm</vt:lpwstr>
      </vt:variant>
      <vt:variant>
        <vt:lpwstr/>
      </vt:variant>
      <vt:variant>
        <vt:i4>3801136</vt:i4>
      </vt:variant>
      <vt:variant>
        <vt:i4>66</vt:i4>
      </vt:variant>
      <vt:variant>
        <vt:i4>0</vt:i4>
      </vt:variant>
      <vt:variant>
        <vt:i4>5</vt:i4>
      </vt:variant>
      <vt:variant>
        <vt:lpwstr>https://msc.fema.gov/portal</vt:lpwstr>
      </vt:variant>
      <vt:variant>
        <vt:lpwstr/>
      </vt:variant>
      <vt:variant>
        <vt:i4>3473457</vt:i4>
      </vt:variant>
      <vt:variant>
        <vt:i4>63</vt:i4>
      </vt:variant>
      <vt:variant>
        <vt:i4>0</vt:i4>
      </vt:variant>
      <vt:variant>
        <vt:i4>5</vt:i4>
      </vt:variant>
      <vt:variant>
        <vt:lpwstr>https://msc.fema.gov/webapp/wcs/stores/servlet/FemaWelcomeView?storeId=10001&amp;catalogId=10001&amp;langId=-1</vt:lpwstr>
      </vt:variant>
      <vt:variant>
        <vt:lpwstr/>
      </vt:variant>
      <vt:variant>
        <vt:i4>6094924</vt:i4>
      </vt:variant>
      <vt:variant>
        <vt:i4>60</vt:i4>
      </vt:variant>
      <vt:variant>
        <vt:i4>0</vt:i4>
      </vt:variant>
      <vt:variant>
        <vt:i4>5</vt:i4>
      </vt:variant>
      <vt:variant>
        <vt:lpwstr>http://www.nature.nps.gov/geology/soils/index.cfm</vt:lpwstr>
      </vt:variant>
      <vt:variant>
        <vt:lpwstr/>
      </vt:variant>
      <vt:variant>
        <vt:i4>7995444</vt:i4>
      </vt:variant>
      <vt:variant>
        <vt:i4>57</vt:i4>
      </vt:variant>
      <vt:variant>
        <vt:i4>0</vt:i4>
      </vt:variant>
      <vt:variant>
        <vt:i4>5</vt:i4>
      </vt:variant>
      <vt:variant>
        <vt:lpwstr>http://science.nature.nps.gov/im/inventory/soils/index.cfm</vt:lpwstr>
      </vt:variant>
      <vt:variant>
        <vt:lpwstr/>
      </vt:variant>
      <vt:variant>
        <vt:i4>7995444</vt:i4>
      </vt:variant>
      <vt:variant>
        <vt:i4>54</vt:i4>
      </vt:variant>
      <vt:variant>
        <vt:i4>0</vt:i4>
      </vt:variant>
      <vt:variant>
        <vt:i4>5</vt:i4>
      </vt:variant>
      <vt:variant>
        <vt:lpwstr>http://science.nature.nps.gov/im/inventory/soils/index.cfm</vt:lpwstr>
      </vt:variant>
      <vt:variant>
        <vt:lpwstr/>
      </vt:variant>
      <vt:variant>
        <vt:i4>3342376</vt:i4>
      </vt:variant>
      <vt:variant>
        <vt:i4>51</vt:i4>
      </vt:variant>
      <vt:variant>
        <vt:i4>0</vt:i4>
      </vt:variant>
      <vt:variant>
        <vt:i4>5</vt:i4>
      </vt:variant>
      <vt:variant>
        <vt:lpwstr>http://www.nature.nps.gov/geology/aml/index.cfm</vt:lpwstr>
      </vt:variant>
      <vt:variant>
        <vt:lpwstr/>
      </vt:variant>
      <vt:variant>
        <vt:i4>5898307</vt:i4>
      </vt:variant>
      <vt:variant>
        <vt:i4>48</vt:i4>
      </vt:variant>
      <vt:variant>
        <vt:i4>0</vt:i4>
      </vt:variant>
      <vt:variant>
        <vt:i4>5</vt:i4>
      </vt:variant>
      <vt:variant>
        <vt:lpwstr>http://www.nature.nps.gov/geology/caves/index.cfm</vt:lpwstr>
      </vt:variant>
      <vt:variant>
        <vt:lpwstr/>
      </vt:variant>
      <vt:variant>
        <vt:i4>7405685</vt:i4>
      </vt:variant>
      <vt:variant>
        <vt:i4>45</vt:i4>
      </vt:variant>
      <vt:variant>
        <vt:i4>0</vt:i4>
      </vt:variant>
      <vt:variant>
        <vt:i4>5</vt:i4>
      </vt:variant>
      <vt:variant>
        <vt:lpwstr>http://www.nps.gov/dscw/upload/NaturalHazardChecklist-Images.pdf</vt:lpwstr>
      </vt:variant>
      <vt:variant>
        <vt:lpwstr>page=7</vt:lpwstr>
      </vt:variant>
      <vt:variant>
        <vt:i4>7340149</vt:i4>
      </vt:variant>
      <vt:variant>
        <vt:i4>42</vt:i4>
      </vt:variant>
      <vt:variant>
        <vt:i4>0</vt:i4>
      </vt:variant>
      <vt:variant>
        <vt:i4>5</vt:i4>
      </vt:variant>
      <vt:variant>
        <vt:lpwstr>http://www.nps.gov/dscw/upload/NaturalHazardChecklist-Images.pdf</vt:lpwstr>
      </vt:variant>
      <vt:variant>
        <vt:lpwstr>page=6</vt:lpwstr>
      </vt:variant>
      <vt:variant>
        <vt:i4>3801142</vt:i4>
      </vt:variant>
      <vt:variant>
        <vt:i4>39</vt:i4>
      </vt:variant>
      <vt:variant>
        <vt:i4>0</vt:i4>
      </vt:variant>
      <vt:variant>
        <vt:i4>5</vt:i4>
      </vt:variant>
      <vt:variant>
        <vt:lpwstr>http://www.nature.nps.gov/geology/hazards/index.cfm</vt:lpwstr>
      </vt:variant>
      <vt:variant>
        <vt:lpwstr/>
      </vt:variant>
      <vt:variant>
        <vt:i4>1114208</vt:i4>
      </vt:variant>
      <vt:variant>
        <vt:i4>36</vt:i4>
      </vt:variant>
      <vt:variant>
        <vt:i4>0</vt:i4>
      </vt:variant>
      <vt:variant>
        <vt:i4>5</vt:i4>
      </vt:variant>
      <vt:variant>
        <vt:lpwstr>http://www.geo.uzh.ch/microsite/cryodata/pf_global/</vt:lpwstr>
      </vt:variant>
      <vt:variant>
        <vt:lpwstr/>
      </vt:variant>
      <vt:variant>
        <vt:i4>1572880</vt:i4>
      </vt:variant>
      <vt:variant>
        <vt:i4>33</vt:i4>
      </vt:variant>
      <vt:variant>
        <vt:i4>0</vt:i4>
      </vt:variant>
      <vt:variant>
        <vt:i4>5</vt:i4>
      </vt:variant>
      <vt:variant>
        <vt:lpwstr>http://nsidc.org/data/docs/fgdc/ggd318_map_circumarctic/</vt:lpwstr>
      </vt:variant>
      <vt:variant>
        <vt:lpwstr/>
      </vt:variant>
      <vt:variant>
        <vt:i4>1966092</vt:i4>
      </vt:variant>
      <vt:variant>
        <vt:i4>30</vt:i4>
      </vt:variant>
      <vt:variant>
        <vt:i4>0</vt:i4>
      </vt:variant>
      <vt:variant>
        <vt:i4>5</vt:i4>
      </vt:variant>
      <vt:variant>
        <vt:lpwstr>http://data.usgs.gov/climateMonitoring/region/show?region=alaska</vt:lpwstr>
      </vt:variant>
      <vt:variant>
        <vt:lpwstr/>
      </vt:variant>
      <vt:variant>
        <vt:i4>3801142</vt:i4>
      </vt:variant>
      <vt:variant>
        <vt:i4>27</vt:i4>
      </vt:variant>
      <vt:variant>
        <vt:i4>0</vt:i4>
      </vt:variant>
      <vt:variant>
        <vt:i4>5</vt:i4>
      </vt:variant>
      <vt:variant>
        <vt:lpwstr>http://www.nature.nps.gov/geology/hazards/index.cfm</vt:lpwstr>
      </vt:variant>
      <vt:variant>
        <vt:lpwstr/>
      </vt:variant>
      <vt:variant>
        <vt:i4>262188</vt:i4>
      </vt:variant>
      <vt:variant>
        <vt:i4>24</vt:i4>
      </vt:variant>
      <vt:variant>
        <vt:i4>0</vt:i4>
      </vt:variant>
      <vt:variant>
        <vt:i4>5</vt:i4>
      </vt:variant>
      <vt:variant>
        <vt:lpwstr>http://www.conservation.ca.gov/cgs/geologic_hazards/landslides/Pages/Index.aspx</vt:lpwstr>
      </vt:variant>
      <vt:variant>
        <vt:lpwstr/>
      </vt:variant>
      <vt:variant>
        <vt:i4>7536757</vt:i4>
      </vt:variant>
      <vt:variant>
        <vt:i4>21</vt:i4>
      </vt:variant>
      <vt:variant>
        <vt:i4>0</vt:i4>
      </vt:variant>
      <vt:variant>
        <vt:i4>5</vt:i4>
      </vt:variant>
      <vt:variant>
        <vt:lpwstr>http://www.nps.gov/dscw/upload/NaturalHazardChecklist-Images.pdf</vt:lpwstr>
      </vt:variant>
      <vt:variant>
        <vt:lpwstr>page=5</vt:lpwstr>
      </vt:variant>
      <vt:variant>
        <vt:i4>3801142</vt:i4>
      </vt:variant>
      <vt:variant>
        <vt:i4>18</vt:i4>
      </vt:variant>
      <vt:variant>
        <vt:i4>0</vt:i4>
      </vt:variant>
      <vt:variant>
        <vt:i4>5</vt:i4>
      </vt:variant>
      <vt:variant>
        <vt:lpwstr>http://www.nature.nps.gov/geology/hazards/index.cfm</vt:lpwstr>
      </vt:variant>
      <vt:variant>
        <vt:lpwstr/>
      </vt:variant>
      <vt:variant>
        <vt:i4>1048687</vt:i4>
      </vt:variant>
      <vt:variant>
        <vt:i4>15</vt:i4>
      </vt:variant>
      <vt:variant>
        <vt:i4>0</vt:i4>
      </vt:variant>
      <vt:variant>
        <vt:i4>5</vt:i4>
      </vt:variant>
      <vt:variant>
        <vt:lpwstr>http://www.dnr.wa.gov/ResearchScience/Topics/GeologyPublicationsLibrary/Pages/pub_ofr04-20.aspx</vt:lpwstr>
      </vt:variant>
      <vt:variant>
        <vt:lpwstr/>
      </vt:variant>
      <vt:variant>
        <vt:i4>2359392</vt:i4>
      </vt:variant>
      <vt:variant>
        <vt:i4>12</vt:i4>
      </vt:variant>
      <vt:variant>
        <vt:i4>0</vt:i4>
      </vt:variant>
      <vt:variant>
        <vt:i4>5</vt:i4>
      </vt:variant>
      <vt:variant>
        <vt:lpwstr>http://geohazards.usgs.gov/eqprob/2009/</vt:lpwstr>
      </vt:variant>
      <vt:variant>
        <vt:lpwstr/>
      </vt:variant>
      <vt:variant>
        <vt:i4>7471221</vt:i4>
      </vt:variant>
      <vt:variant>
        <vt:i4>9</vt:i4>
      </vt:variant>
      <vt:variant>
        <vt:i4>0</vt:i4>
      </vt:variant>
      <vt:variant>
        <vt:i4>5</vt:i4>
      </vt:variant>
      <vt:variant>
        <vt:lpwstr>http://www.nps.gov/dscw/upload/NaturalHazardChecklist-Images.pdf</vt:lpwstr>
      </vt:variant>
      <vt:variant>
        <vt:lpwstr>page=4</vt:lpwstr>
      </vt:variant>
      <vt:variant>
        <vt:i4>7667829</vt:i4>
      </vt:variant>
      <vt:variant>
        <vt:i4>6</vt:i4>
      </vt:variant>
      <vt:variant>
        <vt:i4>0</vt:i4>
      </vt:variant>
      <vt:variant>
        <vt:i4>5</vt:i4>
      </vt:variant>
      <vt:variant>
        <vt:lpwstr>http://www.nps.gov/dscw/upload/NaturalHazardChecklist-Images.pdf</vt:lpwstr>
      </vt:variant>
      <vt:variant>
        <vt:lpwstr>page=3</vt:lpwstr>
      </vt:variant>
      <vt:variant>
        <vt:i4>7602293</vt:i4>
      </vt:variant>
      <vt:variant>
        <vt:i4>3</vt:i4>
      </vt:variant>
      <vt:variant>
        <vt:i4>0</vt:i4>
      </vt:variant>
      <vt:variant>
        <vt:i4>5</vt:i4>
      </vt:variant>
      <vt:variant>
        <vt:lpwstr>http://www.nps.gov/dscw/upload/NaturalHazardChecklist-Images.pdf</vt:lpwstr>
      </vt:variant>
      <vt:variant>
        <vt:lpwstr>page=2</vt:lpwstr>
      </vt:variant>
      <vt:variant>
        <vt:i4>7798901</vt:i4>
      </vt:variant>
      <vt:variant>
        <vt:i4>0</vt:i4>
      </vt:variant>
      <vt:variant>
        <vt:i4>0</vt:i4>
      </vt:variant>
      <vt:variant>
        <vt:i4>5</vt:i4>
      </vt:variant>
      <vt:variant>
        <vt:lpwstr>http://www.nps.gov/dscw/upload/NaturalHazardChecklist-Images.pdf</vt:lpwstr>
      </vt:variant>
      <vt:variant>
        <vt:lpwstr>page=1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Hazard Checklist, January 2015</dc:title>
  <dc:creator/>
  <cp:keywords>Natural Hazard Checklist, Stop 1, Excerpt Level 3 Handbook, Addressing Climate Change and Natural Hazards, Facility Planning and Considerations, January 2015</cp:keywords>
  <dc:description>Natural Hazard Checklist, Stop 1, Excerpt Level 3 Handbook, Addressing Climate Change and Natural Hazards, Facility Planning and Considerations, January 2015</dc:description>
  <cp:lastModifiedBy/>
  <cp:revision>1</cp:revision>
  <dcterms:created xsi:type="dcterms:W3CDTF">2017-12-04T05:34:00Z</dcterms:created>
  <dcterms:modified xsi:type="dcterms:W3CDTF">2017-12-04T20:16:00Z</dcterms:modified>
</cp:coreProperties>
</file>