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992" w:rsidRPr="003E22BF" w:rsidRDefault="000A6992">
      <w:pPr>
        <w:rPr>
          <w:rFonts w:ascii="Arial" w:eastAsia="Arial" w:hAnsi="Arial" w:cs="Arial"/>
          <w:sz w:val="20"/>
          <w:szCs w:val="20"/>
        </w:rPr>
      </w:pPr>
      <w:bookmarkStart w:id="0" w:name="_GoBack"/>
      <w:bookmarkEnd w:id="0"/>
      <w:r w:rsidRPr="003E22BF">
        <w:rPr>
          <w:rFonts w:ascii="Arial" w:eastAsia="Arial" w:hAnsi="Arial" w:cs="Arial"/>
          <w:sz w:val="20"/>
          <w:szCs w:val="20"/>
        </w:rPr>
        <w:t>Materials for Greene and the Decision to Lay Siege</w:t>
      </w:r>
    </w:p>
    <w:p w:rsidR="000A6992" w:rsidRPr="003E22BF" w:rsidRDefault="000A6992">
      <w:pPr>
        <w:rPr>
          <w:rFonts w:ascii="Arial" w:eastAsia="Arial" w:hAnsi="Arial" w:cs="Arial"/>
          <w:sz w:val="20"/>
          <w:szCs w:val="20"/>
        </w:rPr>
      </w:pPr>
    </w:p>
    <w:p w:rsidR="00433324" w:rsidRPr="003E22BF" w:rsidRDefault="000A6992">
      <w:pPr>
        <w:rPr>
          <w:rFonts w:ascii="Arial" w:eastAsia="Arial" w:hAnsi="Arial" w:cs="Arial"/>
          <w:sz w:val="20"/>
          <w:szCs w:val="20"/>
        </w:rPr>
      </w:pPr>
      <w:r w:rsidRPr="003E22BF">
        <w:rPr>
          <w:rFonts w:ascii="Arial" w:eastAsia="Arial" w:hAnsi="Arial" w:cs="Arial"/>
          <w:sz w:val="20"/>
          <w:szCs w:val="20"/>
        </w:rPr>
        <w:t xml:space="preserve">1. </w:t>
      </w:r>
      <w:r w:rsidRPr="003E22BF">
        <w:rPr>
          <w:rFonts w:ascii="Arial" w:eastAsia="Arial" w:hAnsi="Arial" w:cs="Arial"/>
          <w:sz w:val="20"/>
          <w:szCs w:val="20"/>
        </w:rPr>
        <w:tab/>
        <w:t>The Siege of Star Fort</w:t>
      </w:r>
    </w:p>
    <w:p w:rsidR="000A6992" w:rsidRPr="003E22BF" w:rsidRDefault="000A6992">
      <w:pPr>
        <w:rPr>
          <w:rFonts w:ascii="Arial" w:eastAsia="Arial" w:hAnsi="Arial" w:cs="Arial"/>
          <w:sz w:val="20"/>
          <w:szCs w:val="20"/>
        </w:rPr>
      </w:pPr>
    </w:p>
    <w:p w:rsidR="000A6992" w:rsidRPr="003E22BF" w:rsidRDefault="000A6992" w:rsidP="000A6992">
      <w:pPr>
        <w:rPr>
          <w:rFonts w:ascii="Arial" w:eastAsia="Arial" w:hAnsi="Arial" w:cs="Arial"/>
          <w:sz w:val="20"/>
          <w:szCs w:val="20"/>
        </w:rPr>
      </w:pPr>
      <w:r w:rsidRPr="003E22BF">
        <w:rPr>
          <w:rFonts w:ascii="Arial" w:eastAsia="Arial" w:hAnsi="Arial" w:cs="Arial"/>
          <w:sz w:val="20"/>
          <w:szCs w:val="20"/>
        </w:rPr>
        <w:t>This passage is the first material that the students are to read and serves as one of the two descriptions of the decision to lay siege to the fort.</w:t>
      </w:r>
    </w:p>
    <w:p w:rsidR="000A6992" w:rsidRPr="003E22BF" w:rsidRDefault="000A6992" w:rsidP="000A6992">
      <w:pPr>
        <w:rPr>
          <w:rFonts w:ascii="Arial" w:eastAsia="Arial" w:hAnsi="Arial" w:cs="Arial"/>
          <w:sz w:val="20"/>
          <w:szCs w:val="20"/>
        </w:rPr>
      </w:pPr>
    </w:p>
    <w:p w:rsidR="000A6992" w:rsidRPr="003E22BF" w:rsidRDefault="000A6992" w:rsidP="000A6992">
      <w:pPr>
        <w:rPr>
          <w:rFonts w:ascii="Arial" w:eastAsia="Arial" w:hAnsi="Arial" w:cs="Arial"/>
          <w:i/>
          <w:sz w:val="20"/>
          <w:szCs w:val="20"/>
        </w:rPr>
      </w:pPr>
      <w:r w:rsidRPr="003E22BF">
        <w:rPr>
          <w:rFonts w:ascii="Arial" w:eastAsia="Arial" w:hAnsi="Arial" w:cs="Arial"/>
          <w:i/>
          <w:sz w:val="20"/>
          <w:szCs w:val="20"/>
        </w:rPr>
        <w:t xml:space="preserve">At his first sight of Star Fort, dark, sullen and forbidding, Nathanael Greene became as excited as his troops. After he had seen that they were suitably encamped, had eaten and were preparing for the night, he decided to reconnoiter the enemy’s position. Accompanied by Colonel Kosciusko, Major Pendleton and an escort of dragoons, he set out in late afternoon to ride around Ninety Six. </w:t>
      </w:r>
    </w:p>
    <w:p w:rsidR="000A6992" w:rsidRPr="003E22BF" w:rsidRDefault="000A6992" w:rsidP="000A6992">
      <w:pPr>
        <w:rPr>
          <w:rFonts w:ascii="Arial" w:eastAsia="Arial" w:hAnsi="Arial" w:cs="Arial"/>
          <w:i/>
          <w:sz w:val="20"/>
          <w:szCs w:val="20"/>
        </w:rPr>
      </w:pPr>
    </w:p>
    <w:p w:rsidR="000A6992" w:rsidRPr="003E22BF" w:rsidRDefault="000A6992" w:rsidP="000A6992">
      <w:pPr>
        <w:rPr>
          <w:rFonts w:ascii="Arial" w:eastAsia="Arial" w:hAnsi="Arial" w:cs="Arial"/>
          <w:i/>
          <w:sz w:val="20"/>
          <w:szCs w:val="20"/>
        </w:rPr>
      </w:pPr>
      <w:r w:rsidRPr="003E22BF">
        <w:rPr>
          <w:rFonts w:ascii="Arial" w:eastAsia="Arial" w:hAnsi="Arial" w:cs="Arial"/>
          <w:i/>
          <w:sz w:val="20"/>
          <w:szCs w:val="20"/>
        </w:rPr>
        <w:t>After returning… Greene reflected long and seriously upon a strategy for capturing Ninety Six. As a master of both strategy and tactics, he instinctively knew that the tactics for reducing the post were simple. He could cut off the water supply; or he could storm and overwhelm Star Fort. The general was also aware that each task would be Herculean.</w:t>
      </w:r>
    </w:p>
    <w:p w:rsidR="000A6992" w:rsidRPr="003E22BF" w:rsidRDefault="000A6992" w:rsidP="000A6992">
      <w:pPr>
        <w:rPr>
          <w:rFonts w:ascii="Arial" w:eastAsia="Arial" w:hAnsi="Arial" w:cs="Arial"/>
          <w:i/>
          <w:sz w:val="20"/>
          <w:szCs w:val="20"/>
        </w:rPr>
      </w:pPr>
    </w:p>
    <w:p w:rsidR="000A6992" w:rsidRPr="003E22BF" w:rsidRDefault="000A6992" w:rsidP="000A6992">
      <w:pPr>
        <w:rPr>
          <w:rFonts w:ascii="Arial" w:eastAsia="Arial" w:hAnsi="Arial" w:cs="Arial"/>
          <w:i/>
          <w:sz w:val="20"/>
          <w:szCs w:val="20"/>
        </w:rPr>
      </w:pPr>
      <w:r w:rsidRPr="003E22BF">
        <w:rPr>
          <w:rFonts w:ascii="Arial" w:eastAsia="Arial" w:hAnsi="Arial" w:cs="Arial"/>
          <w:i/>
          <w:sz w:val="20"/>
          <w:szCs w:val="20"/>
        </w:rPr>
        <w:t xml:space="preserve">Soon after daybreak on the morning of May 23 </w:t>
      </w:r>
      <w:r w:rsidRPr="003E22BF">
        <w:rPr>
          <w:rFonts w:ascii="Arial" w:eastAsia="Arial" w:hAnsi="Arial" w:cs="Arial"/>
          <w:sz w:val="20"/>
          <w:szCs w:val="20"/>
        </w:rPr>
        <w:t>[1781]</w:t>
      </w:r>
      <w:r w:rsidRPr="003E22BF">
        <w:rPr>
          <w:rFonts w:ascii="Arial" w:eastAsia="Arial" w:hAnsi="Arial" w:cs="Arial"/>
          <w:i/>
          <w:sz w:val="20"/>
          <w:szCs w:val="20"/>
        </w:rPr>
        <w:t xml:space="preserve">, General Greene continued his inspection of Ninety Six. Through his field glasses he studied Star Fort, and scanned the nearest of what Light Horse Harry called the “Sixteen salient and re-entering angles.” Greene surveyed the stockade, the fortified jail, and the redoubts and blockhouses, then examined the fosse and the </w:t>
      </w:r>
      <w:proofErr w:type="spellStart"/>
      <w:r w:rsidRPr="003E22BF">
        <w:rPr>
          <w:rFonts w:ascii="Arial" w:eastAsia="Arial" w:hAnsi="Arial" w:cs="Arial"/>
          <w:i/>
          <w:sz w:val="20"/>
          <w:szCs w:val="20"/>
        </w:rPr>
        <w:t>abbatis</w:t>
      </w:r>
      <w:proofErr w:type="spellEnd"/>
      <w:r w:rsidRPr="003E22BF">
        <w:rPr>
          <w:rFonts w:ascii="Arial" w:eastAsia="Arial" w:hAnsi="Arial" w:cs="Arial"/>
          <w:i/>
          <w:sz w:val="20"/>
          <w:szCs w:val="20"/>
        </w:rPr>
        <w:t xml:space="preserve">. As he scanned the post he realized that </w:t>
      </w:r>
      <w:proofErr w:type="spellStart"/>
      <w:r w:rsidRPr="003E22BF">
        <w:rPr>
          <w:rFonts w:ascii="Arial" w:eastAsia="Arial" w:hAnsi="Arial" w:cs="Arial"/>
          <w:i/>
          <w:sz w:val="20"/>
          <w:szCs w:val="20"/>
        </w:rPr>
        <w:t>Cruger’s</w:t>
      </w:r>
      <w:proofErr w:type="spellEnd"/>
      <w:r w:rsidRPr="003E22BF">
        <w:rPr>
          <w:rFonts w:ascii="Arial" w:eastAsia="Arial" w:hAnsi="Arial" w:cs="Arial"/>
          <w:i/>
          <w:sz w:val="20"/>
          <w:szCs w:val="20"/>
        </w:rPr>
        <w:t xml:space="preserve"> position was almost impregnable.</w:t>
      </w:r>
    </w:p>
    <w:p w:rsidR="000A6992" w:rsidRPr="003E22BF" w:rsidRDefault="000A6992" w:rsidP="000A6992">
      <w:pPr>
        <w:rPr>
          <w:rFonts w:ascii="Arial" w:eastAsia="Arial" w:hAnsi="Arial" w:cs="Arial"/>
          <w:i/>
          <w:sz w:val="20"/>
          <w:szCs w:val="20"/>
        </w:rPr>
      </w:pPr>
    </w:p>
    <w:p w:rsidR="000A6992" w:rsidRPr="003E22BF" w:rsidRDefault="000A6992" w:rsidP="000A6992">
      <w:pPr>
        <w:rPr>
          <w:rFonts w:ascii="Arial" w:eastAsia="Arial" w:hAnsi="Arial" w:cs="Arial"/>
          <w:i/>
          <w:sz w:val="20"/>
          <w:szCs w:val="20"/>
        </w:rPr>
      </w:pPr>
      <w:r w:rsidRPr="003E22BF">
        <w:rPr>
          <w:rFonts w:ascii="Arial" w:eastAsia="Arial" w:hAnsi="Arial" w:cs="Arial"/>
          <w:i/>
          <w:sz w:val="20"/>
          <w:szCs w:val="20"/>
        </w:rPr>
        <w:t xml:space="preserve">After deep consideration, Greene decided upon a regular siege. As a keen strategist he knew, however, that the success of a siege would depend upon several things: first, the valor that would animate the defenders: second, the amount of food that </w:t>
      </w:r>
      <w:proofErr w:type="spellStart"/>
      <w:r w:rsidRPr="003E22BF">
        <w:rPr>
          <w:rFonts w:ascii="Arial" w:eastAsia="Arial" w:hAnsi="Arial" w:cs="Arial"/>
          <w:i/>
          <w:sz w:val="20"/>
          <w:szCs w:val="20"/>
        </w:rPr>
        <w:t>Curger</w:t>
      </w:r>
      <w:proofErr w:type="spellEnd"/>
      <w:r w:rsidRPr="003E22BF">
        <w:rPr>
          <w:rFonts w:ascii="Arial" w:eastAsia="Arial" w:hAnsi="Arial" w:cs="Arial"/>
          <w:i/>
          <w:sz w:val="20"/>
          <w:szCs w:val="20"/>
        </w:rPr>
        <w:t xml:space="preserve"> had been able to gather and store in the village: and third, the time necessary for Balfour and Rawdon to organize and dispatch an army to the relief of Ninety Six.</w:t>
      </w:r>
    </w:p>
    <w:p w:rsidR="000A6992" w:rsidRPr="003E22BF" w:rsidRDefault="000A6992" w:rsidP="000A6992">
      <w:pPr>
        <w:rPr>
          <w:rFonts w:ascii="Arial" w:eastAsia="Arial" w:hAnsi="Arial" w:cs="Arial"/>
          <w:sz w:val="16"/>
          <w:szCs w:val="16"/>
        </w:rPr>
      </w:pPr>
      <w:r w:rsidRPr="003E22BF">
        <w:rPr>
          <w:rFonts w:ascii="Arial" w:eastAsia="Arial" w:hAnsi="Arial" w:cs="Arial"/>
          <w:sz w:val="16"/>
          <w:szCs w:val="16"/>
        </w:rPr>
        <w:t xml:space="preserve">Robert Bass, </w:t>
      </w:r>
      <w:r w:rsidRPr="003E22BF">
        <w:rPr>
          <w:rFonts w:ascii="Arial" w:eastAsia="Arial" w:hAnsi="Arial" w:cs="Arial"/>
          <w:i/>
          <w:sz w:val="16"/>
          <w:szCs w:val="16"/>
        </w:rPr>
        <w:t>Ninety Six: The Struggle for the South Carolina Back Country</w:t>
      </w:r>
      <w:r w:rsidRPr="003E22BF">
        <w:rPr>
          <w:rFonts w:ascii="Arial" w:eastAsia="Arial" w:hAnsi="Arial" w:cs="Arial"/>
          <w:sz w:val="16"/>
          <w:szCs w:val="16"/>
        </w:rPr>
        <w:t xml:space="preserve"> (Lexington, South Carolina: Sandlapper Store, 1978), 386-387.</w:t>
      </w:r>
    </w:p>
    <w:p w:rsidR="000A6992" w:rsidRPr="003E22BF" w:rsidRDefault="000A6992" w:rsidP="000A6992">
      <w:pPr>
        <w:rPr>
          <w:rFonts w:ascii="Arial" w:eastAsia="Arial" w:hAnsi="Arial" w:cs="Arial"/>
          <w:sz w:val="20"/>
          <w:szCs w:val="20"/>
        </w:rPr>
      </w:pPr>
    </w:p>
    <w:p w:rsidR="000A6992" w:rsidRPr="003E22BF" w:rsidRDefault="000A6992">
      <w:r w:rsidRPr="003E22BF">
        <w:br w:type="page"/>
      </w:r>
    </w:p>
    <w:p w:rsidR="000A6992" w:rsidRPr="003E22BF" w:rsidRDefault="000A6992">
      <w:pPr>
        <w:rPr>
          <w:rFonts w:ascii="Arial" w:eastAsia="Arial" w:hAnsi="Arial" w:cs="Arial"/>
          <w:sz w:val="20"/>
          <w:szCs w:val="20"/>
        </w:rPr>
      </w:pPr>
      <w:r w:rsidRPr="003E22BF">
        <w:lastRenderedPageBreak/>
        <w:t>2.</w:t>
      </w:r>
      <w:r w:rsidRPr="003E22BF">
        <w:tab/>
      </w:r>
      <w:r w:rsidRPr="003E22BF">
        <w:rPr>
          <w:rFonts w:ascii="Arial" w:eastAsia="Arial" w:hAnsi="Arial" w:cs="Arial"/>
          <w:sz w:val="20"/>
          <w:szCs w:val="20"/>
        </w:rPr>
        <w:t xml:space="preserve">Comparison Sheet for </w:t>
      </w:r>
      <w:proofErr w:type="gramStart"/>
      <w:r w:rsidRPr="003E22BF">
        <w:rPr>
          <w:rFonts w:ascii="Arial" w:eastAsia="Arial" w:hAnsi="Arial" w:cs="Arial"/>
          <w:sz w:val="20"/>
          <w:szCs w:val="20"/>
        </w:rPr>
        <w:t>The</w:t>
      </w:r>
      <w:proofErr w:type="gramEnd"/>
      <w:r w:rsidRPr="003E22BF">
        <w:rPr>
          <w:rFonts w:ascii="Arial" w:eastAsia="Arial" w:hAnsi="Arial" w:cs="Arial"/>
          <w:sz w:val="20"/>
          <w:szCs w:val="20"/>
        </w:rPr>
        <w:t xml:space="preserve"> Siege of Star Fort</w:t>
      </w:r>
    </w:p>
    <w:p w:rsidR="000A6992" w:rsidRPr="003E22BF" w:rsidRDefault="000A6992">
      <w:pPr>
        <w:rPr>
          <w:rFonts w:ascii="Arial" w:eastAsia="Arial" w:hAnsi="Arial" w:cs="Arial"/>
          <w:sz w:val="20"/>
          <w:szCs w:val="20"/>
        </w:rPr>
      </w:pPr>
    </w:p>
    <w:p w:rsidR="000A6992" w:rsidRPr="003E22BF" w:rsidRDefault="000A6992" w:rsidP="000A6992">
      <w:pPr>
        <w:rPr>
          <w:rFonts w:ascii="Arial" w:eastAsia="Arial" w:hAnsi="Arial" w:cs="Arial"/>
          <w:sz w:val="20"/>
          <w:szCs w:val="20"/>
        </w:rPr>
      </w:pPr>
      <w:r w:rsidRPr="003E22BF">
        <w:rPr>
          <w:rFonts w:ascii="Arial" w:eastAsia="Arial" w:hAnsi="Arial" w:cs="Arial"/>
          <w:sz w:val="20"/>
          <w:szCs w:val="20"/>
        </w:rPr>
        <w:t>This sheet is designed for students to question the reading passage and build an understanding of how the text is structured and the author uses different vocabulary to convey meaning.</w:t>
      </w:r>
    </w:p>
    <w:p w:rsidR="000A6992" w:rsidRPr="003E22BF" w:rsidRDefault="000A6992"/>
    <w:tbl>
      <w:tblPr>
        <w:tblStyle w:val="TableGrid"/>
        <w:tblW w:w="0" w:type="auto"/>
        <w:jc w:val="center"/>
        <w:tblLook w:val="01E0" w:firstRow="1" w:lastRow="1" w:firstColumn="1" w:lastColumn="1" w:noHBand="0" w:noVBand="0"/>
      </w:tblPr>
      <w:tblGrid>
        <w:gridCol w:w="8892"/>
      </w:tblGrid>
      <w:tr w:rsidR="003E22BF" w:rsidRPr="003E22BF" w:rsidTr="00091C45">
        <w:trPr>
          <w:jc w:val="center"/>
        </w:trPr>
        <w:tc>
          <w:tcPr>
            <w:tcW w:w="8892" w:type="dxa"/>
          </w:tcPr>
          <w:p w:rsidR="000A6992" w:rsidRPr="003E22BF" w:rsidRDefault="000A6992" w:rsidP="00091C45">
            <w:pPr>
              <w:jc w:val="center"/>
              <w:rPr>
                <w:b/>
                <w:sz w:val="22"/>
                <w:szCs w:val="22"/>
              </w:rPr>
            </w:pPr>
            <w:r w:rsidRPr="003E22BF">
              <w:rPr>
                <w:b/>
                <w:sz w:val="22"/>
                <w:szCs w:val="22"/>
              </w:rPr>
              <w:t>The Siege of Star Fort</w:t>
            </w:r>
          </w:p>
        </w:tc>
      </w:tr>
      <w:tr w:rsidR="003E22BF" w:rsidRPr="003E22BF" w:rsidTr="00091C45">
        <w:trPr>
          <w:jc w:val="center"/>
        </w:trPr>
        <w:tc>
          <w:tcPr>
            <w:tcW w:w="8892" w:type="dxa"/>
          </w:tcPr>
          <w:p w:rsidR="000A6992" w:rsidRPr="003E22BF" w:rsidRDefault="000A6992" w:rsidP="00091C45">
            <w:pPr>
              <w:rPr>
                <w:b/>
                <w:sz w:val="22"/>
                <w:szCs w:val="22"/>
              </w:rPr>
            </w:pPr>
            <w:r w:rsidRPr="003E22BF">
              <w:rPr>
                <w:b/>
                <w:sz w:val="22"/>
                <w:szCs w:val="22"/>
              </w:rPr>
              <w:t>Purpose</w:t>
            </w:r>
          </w:p>
          <w:p w:rsidR="000A6992" w:rsidRPr="003E22BF" w:rsidRDefault="000A6992" w:rsidP="00091C45">
            <w:pPr>
              <w:rPr>
                <w:b/>
                <w:sz w:val="22"/>
                <w:szCs w:val="22"/>
              </w:rPr>
            </w:pPr>
            <w:r w:rsidRPr="003E22BF">
              <w:rPr>
                <w:b/>
                <w:sz w:val="22"/>
                <w:szCs w:val="22"/>
              </w:rPr>
              <w:t>Why did the author write this piece?</w:t>
            </w:r>
          </w:p>
          <w:p w:rsidR="000A6992" w:rsidRPr="003E22BF" w:rsidRDefault="000A6992" w:rsidP="000A6992">
            <w:pPr>
              <w:numPr>
                <w:ilvl w:val="0"/>
                <w:numId w:val="1"/>
              </w:numPr>
              <w:spacing w:line="276" w:lineRule="auto"/>
              <w:rPr>
                <w:sz w:val="22"/>
                <w:szCs w:val="22"/>
              </w:rPr>
            </w:pPr>
            <w:r w:rsidRPr="003E22BF">
              <w:rPr>
                <w:sz w:val="22"/>
                <w:szCs w:val="22"/>
              </w:rPr>
              <w:t xml:space="preserve">  </w:t>
            </w:r>
          </w:p>
          <w:p w:rsidR="000A6992" w:rsidRPr="003E22BF" w:rsidRDefault="000A6992" w:rsidP="000A6992">
            <w:pPr>
              <w:numPr>
                <w:ilvl w:val="0"/>
                <w:numId w:val="1"/>
              </w:numPr>
              <w:spacing w:line="276" w:lineRule="auto"/>
              <w:rPr>
                <w:sz w:val="22"/>
                <w:szCs w:val="22"/>
              </w:rPr>
            </w:pPr>
            <w:r w:rsidRPr="003E22BF">
              <w:rPr>
                <w:sz w:val="22"/>
                <w:szCs w:val="22"/>
              </w:rPr>
              <w:t xml:space="preserve">  </w:t>
            </w:r>
          </w:p>
          <w:p w:rsidR="000A6992" w:rsidRPr="003E22BF" w:rsidRDefault="000A6992" w:rsidP="000A6992">
            <w:pPr>
              <w:numPr>
                <w:ilvl w:val="0"/>
                <w:numId w:val="1"/>
              </w:numPr>
              <w:spacing w:line="276" w:lineRule="auto"/>
              <w:rPr>
                <w:sz w:val="22"/>
                <w:szCs w:val="22"/>
              </w:rPr>
            </w:pPr>
            <w:r w:rsidRPr="003E22BF">
              <w:rPr>
                <w:sz w:val="22"/>
                <w:szCs w:val="22"/>
              </w:rPr>
              <w:t xml:space="preserve">  </w:t>
            </w:r>
          </w:p>
          <w:p w:rsidR="000A6992" w:rsidRPr="003E22BF" w:rsidRDefault="000A6992" w:rsidP="000A6992">
            <w:pPr>
              <w:numPr>
                <w:ilvl w:val="0"/>
                <w:numId w:val="1"/>
              </w:numPr>
              <w:spacing w:line="276" w:lineRule="auto"/>
              <w:rPr>
                <w:sz w:val="22"/>
                <w:szCs w:val="22"/>
              </w:rPr>
            </w:pPr>
            <w:r w:rsidRPr="003E22BF">
              <w:rPr>
                <w:sz w:val="22"/>
                <w:szCs w:val="22"/>
              </w:rPr>
              <w:t xml:space="preserve">  </w:t>
            </w:r>
          </w:p>
        </w:tc>
      </w:tr>
      <w:tr w:rsidR="003E22BF" w:rsidRPr="003E22BF" w:rsidTr="00091C45">
        <w:trPr>
          <w:jc w:val="center"/>
        </w:trPr>
        <w:tc>
          <w:tcPr>
            <w:tcW w:w="8892" w:type="dxa"/>
          </w:tcPr>
          <w:p w:rsidR="000A6992" w:rsidRPr="003E22BF" w:rsidRDefault="000A6992" w:rsidP="00091C45">
            <w:pPr>
              <w:rPr>
                <w:b/>
                <w:sz w:val="22"/>
                <w:szCs w:val="22"/>
              </w:rPr>
            </w:pPr>
            <w:r w:rsidRPr="003E22BF">
              <w:rPr>
                <w:b/>
                <w:sz w:val="22"/>
                <w:szCs w:val="22"/>
              </w:rPr>
              <w:t>Vocabulary</w:t>
            </w:r>
          </w:p>
          <w:p w:rsidR="000A6992" w:rsidRPr="003E22BF" w:rsidRDefault="000A6992" w:rsidP="00091C45">
            <w:pPr>
              <w:rPr>
                <w:b/>
                <w:sz w:val="22"/>
                <w:szCs w:val="22"/>
              </w:rPr>
            </w:pPr>
            <w:r w:rsidRPr="003E22BF">
              <w:rPr>
                <w:b/>
                <w:sz w:val="22"/>
                <w:szCs w:val="22"/>
              </w:rPr>
              <w:t>What kinds of vocabulary words did the author use?</w:t>
            </w:r>
          </w:p>
          <w:p w:rsidR="000A6992" w:rsidRPr="003E22BF" w:rsidRDefault="000A6992" w:rsidP="000A6992">
            <w:pPr>
              <w:numPr>
                <w:ilvl w:val="0"/>
                <w:numId w:val="2"/>
              </w:numPr>
              <w:spacing w:line="276" w:lineRule="auto"/>
              <w:rPr>
                <w:sz w:val="22"/>
                <w:szCs w:val="22"/>
              </w:rPr>
            </w:pPr>
            <w:r w:rsidRPr="003E22BF">
              <w:rPr>
                <w:sz w:val="22"/>
                <w:szCs w:val="22"/>
              </w:rPr>
              <w:t xml:space="preserve">  </w:t>
            </w:r>
          </w:p>
          <w:p w:rsidR="000A6992" w:rsidRPr="003E22BF" w:rsidRDefault="000A6992" w:rsidP="000A6992">
            <w:pPr>
              <w:numPr>
                <w:ilvl w:val="0"/>
                <w:numId w:val="2"/>
              </w:numPr>
              <w:spacing w:line="276" w:lineRule="auto"/>
              <w:rPr>
                <w:sz w:val="22"/>
                <w:szCs w:val="22"/>
              </w:rPr>
            </w:pPr>
            <w:r w:rsidRPr="003E22BF">
              <w:rPr>
                <w:sz w:val="22"/>
                <w:szCs w:val="22"/>
              </w:rPr>
              <w:t xml:space="preserve">  </w:t>
            </w:r>
          </w:p>
          <w:p w:rsidR="000A6992" w:rsidRPr="003E22BF" w:rsidRDefault="000A6992" w:rsidP="000A6992">
            <w:pPr>
              <w:numPr>
                <w:ilvl w:val="0"/>
                <w:numId w:val="2"/>
              </w:numPr>
              <w:spacing w:line="276" w:lineRule="auto"/>
              <w:rPr>
                <w:sz w:val="22"/>
                <w:szCs w:val="22"/>
              </w:rPr>
            </w:pPr>
            <w:r w:rsidRPr="003E22BF">
              <w:rPr>
                <w:sz w:val="22"/>
                <w:szCs w:val="22"/>
              </w:rPr>
              <w:t xml:space="preserve">  </w:t>
            </w:r>
          </w:p>
          <w:p w:rsidR="000A6992" w:rsidRPr="003E22BF" w:rsidRDefault="000A6992" w:rsidP="000A6992">
            <w:pPr>
              <w:numPr>
                <w:ilvl w:val="0"/>
                <w:numId w:val="2"/>
              </w:numPr>
              <w:spacing w:line="276" w:lineRule="auto"/>
              <w:rPr>
                <w:sz w:val="22"/>
                <w:szCs w:val="22"/>
              </w:rPr>
            </w:pPr>
            <w:r w:rsidRPr="003E22BF">
              <w:rPr>
                <w:sz w:val="22"/>
                <w:szCs w:val="22"/>
              </w:rPr>
              <w:t xml:space="preserve">  </w:t>
            </w:r>
          </w:p>
          <w:p w:rsidR="000A6992" w:rsidRPr="003E22BF" w:rsidRDefault="000A6992" w:rsidP="000A6992">
            <w:pPr>
              <w:numPr>
                <w:ilvl w:val="0"/>
                <w:numId w:val="2"/>
              </w:numPr>
              <w:spacing w:line="276" w:lineRule="auto"/>
              <w:rPr>
                <w:sz w:val="22"/>
                <w:szCs w:val="22"/>
              </w:rPr>
            </w:pPr>
            <w:r w:rsidRPr="003E22BF">
              <w:rPr>
                <w:sz w:val="22"/>
                <w:szCs w:val="22"/>
              </w:rPr>
              <w:t xml:space="preserve">  </w:t>
            </w:r>
          </w:p>
          <w:p w:rsidR="000A6992" w:rsidRPr="003E22BF" w:rsidRDefault="000A6992" w:rsidP="000A6992">
            <w:pPr>
              <w:numPr>
                <w:ilvl w:val="0"/>
                <w:numId w:val="2"/>
              </w:numPr>
              <w:spacing w:line="276" w:lineRule="auto"/>
              <w:rPr>
                <w:sz w:val="22"/>
                <w:szCs w:val="22"/>
              </w:rPr>
            </w:pPr>
            <w:r w:rsidRPr="003E22BF">
              <w:rPr>
                <w:sz w:val="22"/>
                <w:szCs w:val="22"/>
              </w:rPr>
              <w:t xml:space="preserve">  </w:t>
            </w:r>
          </w:p>
        </w:tc>
      </w:tr>
      <w:tr w:rsidR="003E22BF" w:rsidRPr="003E22BF" w:rsidTr="00091C45">
        <w:trPr>
          <w:jc w:val="center"/>
        </w:trPr>
        <w:tc>
          <w:tcPr>
            <w:tcW w:w="8892" w:type="dxa"/>
          </w:tcPr>
          <w:p w:rsidR="000A6992" w:rsidRPr="003E22BF" w:rsidRDefault="000A6992" w:rsidP="00091C45">
            <w:pPr>
              <w:rPr>
                <w:b/>
                <w:sz w:val="22"/>
                <w:szCs w:val="22"/>
              </w:rPr>
            </w:pPr>
            <w:r w:rsidRPr="003E22BF">
              <w:rPr>
                <w:b/>
                <w:sz w:val="22"/>
                <w:szCs w:val="22"/>
              </w:rPr>
              <w:t>Structure</w:t>
            </w:r>
          </w:p>
          <w:p w:rsidR="000A6992" w:rsidRPr="003E22BF" w:rsidRDefault="000A6992" w:rsidP="00091C45">
            <w:pPr>
              <w:rPr>
                <w:b/>
                <w:sz w:val="22"/>
                <w:szCs w:val="22"/>
              </w:rPr>
            </w:pPr>
            <w:r w:rsidRPr="003E22BF">
              <w:rPr>
                <w:b/>
                <w:sz w:val="22"/>
                <w:szCs w:val="22"/>
              </w:rPr>
              <w:t xml:space="preserve">How is the piece organized?  </w:t>
            </w:r>
          </w:p>
          <w:p w:rsidR="000A6992" w:rsidRPr="003E22BF" w:rsidRDefault="000A6992" w:rsidP="000A6992">
            <w:pPr>
              <w:numPr>
                <w:ilvl w:val="0"/>
                <w:numId w:val="3"/>
              </w:numPr>
              <w:spacing w:line="276" w:lineRule="auto"/>
              <w:rPr>
                <w:sz w:val="22"/>
                <w:szCs w:val="22"/>
              </w:rPr>
            </w:pPr>
            <w:r w:rsidRPr="003E22BF">
              <w:rPr>
                <w:sz w:val="22"/>
                <w:szCs w:val="22"/>
              </w:rPr>
              <w:t xml:space="preserve">  </w:t>
            </w:r>
          </w:p>
          <w:p w:rsidR="000A6992" w:rsidRPr="003E22BF" w:rsidRDefault="000A6992" w:rsidP="000A6992">
            <w:pPr>
              <w:numPr>
                <w:ilvl w:val="0"/>
                <w:numId w:val="3"/>
              </w:numPr>
              <w:spacing w:line="276" w:lineRule="auto"/>
              <w:rPr>
                <w:sz w:val="22"/>
                <w:szCs w:val="22"/>
              </w:rPr>
            </w:pPr>
            <w:r w:rsidRPr="003E22BF">
              <w:rPr>
                <w:sz w:val="22"/>
                <w:szCs w:val="22"/>
              </w:rPr>
              <w:t xml:space="preserve">  </w:t>
            </w:r>
          </w:p>
          <w:p w:rsidR="000A6992" w:rsidRPr="003E22BF" w:rsidRDefault="000A6992" w:rsidP="000A6992">
            <w:pPr>
              <w:numPr>
                <w:ilvl w:val="0"/>
                <w:numId w:val="3"/>
              </w:numPr>
              <w:spacing w:line="276" w:lineRule="auto"/>
              <w:rPr>
                <w:sz w:val="22"/>
                <w:szCs w:val="22"/>
              </w:rPr>
            </w:pPr>
            <w:r w:rsidRPr="003E22BF">
              <w:rPr>
                <w:sz w:val="22"/>
                <w:szCs w:val="22"/>
              </w:rPr>
              <w:t xml:space="preserve">  </w:t>
            </w:r>
          </w:p>
          <w:p w:rsidR="000A6992" w:rsidRPr="003E22BF" w:rsidRDefault="000A6992" w:rsidP="000A6992">
            <w:pPr>
              <w:numPr>
                <w:ilvl w:val="0"/>
                <w:numId w:val="3"/>
              </w:numPr>
              <w:spacing w:line="276" w:lineRule="auto"/>
              <w:rPr>
                <w:sz w:val="22"/>
                <w:szCs w:val="22"/>
              </w:rPr>
            </w:pPr>
            <w:r w:rsidRPr="003E22BF">
              <w:rPr>
                <w:sz w:val="22"/>
                <w:szCs w:val="22"/>
              </w:rPr>
              <w:t xml:space="preserve">  </w:t>
            </w:r>
          </w:p>
        </w:tc>
      </w:tr>
    </w:tbl>
    <w:p w:rsidR="000A6992" w:rsidRPr="003E22BF" w:rsidRDefault="000A6992"/>
    <w:p w:rsidR="000A6992" w:rsidRPr="003E22BF" w:rsidRDefault="000A6992"/>
    <w:p w:rsidR="000A6992" w:rsidRPr="003E22BF" w:rsidRDefault="000A6992">
      <w:r w:rsidRPr="003E22BF">
        <w:br w:type="page"/>
      </w:r>
    </w:p>
    <w:p w:rsidR="000A6992" w:rsidRPr="003E22BF" w:rsidRDefault="000A6992">
      <w:pPr>
        <w:rPr>
          <w:rFonts w:ascii="Arial" w:eastAsia="Arial" w:hAnsi="Arial" w:cs="Arial"/>
          <w:i/>
          <w:sz w:val="20"/>
          <w:szCs w:val="20"/>
        </w:rPr>
      </w:pPr>
      <w:r w:rsidRPr="003E22BF">
        <w:lastRenderedPageBreak/>
        <w:t xml:space="preserve">3. </w:t>
      </w:r>
      <w:r w:rsidRPr="003E22BF">
        <w:tab/>
      </w:r>
      <w:r w:rsidRPr="003E22BF">
        <w:rPr>
          <w:rFonts w:ascii="Arial" w:eastAsia="Arial" w:hAnsi="Arial" w:cs="Arial"/>
          <w:sz w:val="20"/>
          <w:szCs w:val="20"/>
        </w:rPr>
        <w:t xml:space="preserve">Excerpt from </w:t>
      </w:r>
      <w:r w:rsidRPr="003E22BF">
        <w:rPr>
          <w:rFonts w:ascii="Arial" w:eastAsia="Arial" w:hAnsi="Arial" w:cs="Arial"/>
          <w:i/>
          <w:sz w:val="20"/>
          <w:szCs w:val="20"/>
        </w:rPr>
        <w:t>South Carolina and the American Revolution: A Battlefield History</w:t>
      </w:r>
    </w:p>
    <w:p w:rsidR="000A6992" w:rsidRPr="003E22BF" w:rsidRDefault="000A6992">
      <w:pPr>
        <w:rPr>
          <w:rFonts w:ascii="Arial" w:eastAsia="Arial" w:hAnsi="Arial" w:cs="Arial"/>
          <w:i/>
          <w:sz w:val="20"/>
          <w:szCs w:val="20"/>
        </w:rPr>
      </w:pPr>
    </w:p>
    <w:p w:rsidR="000A6992" w:rsidRPr="003E22BF" w:rsidRDefault="000A6992">
      <w:pPr>
        <w:rPr>
          <w:rFonts w:ascii="Arial" w:eastAsia="Arial" w:hAnsi="Arial" w:cs="Arial"/>
          <w:sz w:val="20"/>
          <w:szCs w:val="20"/>
        </w:rPr>
      </w:pPr>
      <w:r w:rsidRPr="003E22BF">
        <w:rPr>
          <w:rFonts w:ascii="Arial" w:eastAsia="Arial" w:hAnsi="Arial" w:cs="Arial"/>
          <w:sz w:val="20"/>
          <w:szCs w:val="20"/>
        </w:rPr>
        <w:t>This passage is the second piece of historical material that the students are to read and serves as one of the two descriptions of the decision to lay siege to the fort.</w:t>
      </w:r>
    </w:p>
    <w:p w:rsidR="000A6992" w:rsidRPr="003E22BF" w:rsidRDefault="000A6992">
      <w:pPr>
        <w:rPr>
          <w:rFonts w:ascii="Arial" w:eastAsia="Arial" w:hAnsi="Arial" w:cs="Arial"/>
          <w:sz w:val="20"/>
          <w:szCs w:val="20"/>
        </w:rPr>
      </w:pPr>
    </w:p>
    <w:p w:rsidR="000A6992" w:rsidRPr="003E22BF" w:rsidRDefault="000A6992" w:rsidP="000A6992">
      <w:pPr>
        <w:rPr>
          <w:rFonts w:ascii="Arial" w:eastAsia="Arial" w:hAnsi="Arial" w:cs="Arial"/>
          <w:i/>
          <w:sz w:val="20"/>
          <w:szCs w:val="20"/>
        </w:rPr>
      </w:pPr>
      <w:r w:rsidRPr="003E22BF">
        <w:rPr>
          <w:rFonts w:ascii="Arial" w:eastAsia="Arial" w:hAnsi="Arial" w:cs="Arial"/>
          <w:i/>
          <w:sz w:val="20"/>
          <w:szCs w:val="20"/>
        </w:rPr>
        <w:t xml:space="preserve">A great Irony for Greene – given the way his effort against Ninety Six would turn out – was that Lord Rawdon had actually sent word to </w:t>
      </w:r>
      <w:proofErr w:type="spellStart"/>
      <w:r w:rsidRPr="003E22BF">
        <w:rPr>
          <w:rFonts w:ascii="Arial" w:eastAsia="Arial" w:hAnsi="Arial" w:cs="Arial"/>
          <w:i/>
          <w:sz w:val="20"/>
          <w:szCs w:val="20"/>
        </w:rPr>
        <w:t>Cruger</w:t>
      </w:r>
      <w:proofErr w:type="spellEnd"/>
      <w:r w:rsidRPr="003E22BF">
        <w:rPr>
          <w:rFonts w:ascii="Arial" w:eastAsia="Arial" w:hAnsi="Arial" w:cs="Arial"/>
          <w:i/>
          <w:sz w:val="20"/>
          <w:szCs w:val="20"/>
        </w:rPr>
        <w:t xml:space="preserve"> to abandon the fort and fall back to Augusta. But the Americans had intercepted the messenger; </w:t>
      </w:r>
      <w:proofErr w:type="spellStart"/>
      <w:r w:rsidRPr="003E22BF">
        <w:rPr>
          <w:rFonts w:ascii="Arial" w:eastAsia="Arial" w:hAnsi="Arial" w:cs="Arial"/>
          <w:i/>
          <w:sz w:val="20"/>
          <w:szCs w:val="20"/>
        </w:rPr>
        <w:t>Cruger</w:t>
      </w:r>
      <w:proofErr w:type="spellEnd"/>
      <w:r w:rsidRPr="003E22BF">
        <w:rPr>
          <w:rFonts w:ascii="Arial" w:eastAsia="Arial" w:hAnsi="Arial" w:cs="Arial"/>
          <w:i/>
          <w:sz w:val="20"/>
          <w:szCs w:val="20"/>
        </w:rPr>
        <w:t xml:space="preserve"> never got the word. He decided to fight, doing everything in his power to improve the position until the Americans arrived to begin their siege. </w:t>
      </w:r>
    </w:p>
    <w:p w:rsidR="000A6992" w:rsidRPr="003E22BF" w:rsidRDefault="000A6992" w:rsidP="000A6992">
      <w:pPr>
        <w:rPr>
          <w:rFonts w:ascii="Arial" w:eastAsia="Arial" w:hAnsi="Arial" w:cs="Arial"/>
          <w:i/>
          <w:sz w:val="20"/>
          <w:szCs w:val="20"/>
        </w:rPr>
      </w:pPr>
    </w:p>
    <w:p w:rsidR="000A6992" w:rsidRPr="003E22BF" w:rsidRDefault="000A6992" w:rsidP="000A6992">
      <w:pPr>
        <w:rPr>
          <w:rFonts w:ascii="Arial" w:eastAsia="Arial" w:hAnsi="Arial" w:cs="Arial"/>
          <w:i/>
          <w:sz w:val="20"/>
          <w:szCs w:val="20"/>
        </w:rPr>
      </w:pPr>
      <w:r w:rsidRPr="003E22BF">
        <w:rPr>
          <w:rFonts w:ascii="Arial" w:eastAsia="Arial" w:hAnsi="Arial" w:cs="Arial"/>
          <w:i/>
          <w:sz w:val="20"/>
          <w:szCs w:val="20"/>
        </w:rPr>
        <w:t xml:space="preserve">Greene’s army amounted to just under a thousand men… This force was nearly twice as large as </w:t>
      </w:r>
      <w:proofErr w:type="spellStart"/>
      <w:r w:rsidRPr="003E22BF">
        <w:rPr>
          <w:rFonts w:ascii="Arial" w:eastAsia="Arial" w:hAnsi="Arial" w:cs="Arial"/>
          <w:i/>
          <w:sz w:val="20"/>
          <w:szCs w:val="20"/>
        </w:rPr>
        <w:t>Cruger’s</w:t>
      </w:r>
      <w:proofErr w:type="spellEnd"/>
      <w:r w:rsidRPr="003E22BF">
        <w:rPr>
          <w:rFonts w:ascii="Arial" w:eastAsia="Arial" w:hAnsi="Arial" w:cs="Arial"/>
          <w:i/>
          <w:sz w:val="20"/>
          <w:szCs w:val="20"/>
        </w:rPr>
        <w:t xml:space="preserve">, but hardly sufficient to undertake full-scale siege operations against such excellent fortifications. Of great benefit to Greene was that his staff included Thaddeus Kosciusko, the Polish engineer serving with the Americans who had, five years before, designed the defenses which stopped Burgoyne’s offensive of 1777 </w:t>
      </w:r>
      <w:r w:rsidRPr="003E22BF">
        <w:rPr>
          <w:rFonts w:ascii="Arial" w:eastAsia="Arial" w:hAnsi="Arial" w:cs="Arial"/>
          <w:sz w:val="20"/>
          <w:szCs w:val="20"/>
        </w:rPr>
        <w:t>[Saratoga],</w:t>
      </w:r>
      <w:r w:rsidRPr="003E22BF">
        <w:rPr>
          <w:rFonts w:ascii="Arial" w:eastAsia="Arial" w:hAnsi="Arial" w:cs="Arial"/>
          <w:i/>
          <w:sz w:val="20"/>
          <w:szCs w:val="20"/>
        </w:rPr>
        <w:t xml:space="preserve"> as well as the defenses that guarded the Hudson River at West Point.</w:t>
      </w:r>
    </w:p>
    <w:p w:rsidR="000A6992" w:rsidRPr="003E22BF" w:rsidRDefault="000A6992" w:rsidP="000A6992">
      <w:pPr>
        <w:rPr>
          <w:rFonts w:ascii="Arial" w:eastAsia="Arial" w:hAnsi="Arial" w:cs="Arial"/>
          <w:i/>
          <w:sz w:val="20"/>
          <w:szCs w:val="20"/>
        </w:rPr>
      </w:pPr>
    </w:p>
    <w:p w:rsidR="000A6992" w:rsidRPr="003E22BF" w:rsidRDefault="000A6992" w:rsidP="000A6992">
      <w:pPr>
        <w:rPr>
          <w:rFonts w:ascii="Arial" w:eastAsia="Arial" w:hAnsi="Arial" w:cs="Arial"/>
          <w:i/>
          <w:sz w:val="20"/>
          <w:szCs w:val="20"/>
        </w:rPr>
      </w:pPr>
      <w:r w:rsidRPr="003E22BF">
        <w:rPr>
          <w:rFonts w:ascii="Arial" w:eastAsia="Arial" w:hAnsi="Arial" w:cs="Arial"/>
          <w:i/>
          <w:sz w:val="20"/>
          <w:szCs w:val="20"/>
        </w:rPr>
        <w:t>Kosciusko recommended to Greene an approach that would maximize the Americans’ limited numbers by concentrating on the Star Redoubt. Greene accepted his recommendation although this would mean beginning at the enemy’s strongest point.</w:t>
      </w:r>
    </w:p>
    <w:p w:rsidR="000A6992" w:rsidRPr="003E22BF" w:rsidRDefault="000A6992" w:rsidP="000A6992">
      <w:pPr>
        <w:rPr>
          <w:rFonts w:ascii="Arial" w:eastAsia="Arial" w:hAnsi="Arial" w:cs="Arial"/>
          <w:i/>
          <w:sz w:val="20"/>
          <w:szCs w:val="20"/>
        </w:rPr>
      </w:pPr>
    </w:p>
    <w:p w:rsidR="000A6992" w:rsidRPr="003E22BF" w:rsidRDefault="000A6992" w:rsidP="000A6992">
      <w:pPr>
        <w:rPr>
          <w:rFonts w:ascii="Arial" w:eastAsia="Arial" w:hAnsi="Arial" w:cs="Arial"/>
          <w:i/>
          <w:sz w:val="20"/>
          <w:szCs w:val="20"/>
        </w:rPr>
      </w:pPr>
    </w:p>
    <w:p w:rsidR="000A6992" w:rsidRPr="003E22BF" w:rsidRDefault="000A6992" w:rsidP="000A6992">
      <w:pPr>
        <w:rPr>
          <w:rFonts w:ascii="Arial" w:eastAsia="Arial" w:hAnsi="Arial" w:cs="Arial"/>
          <w:sz w:val="16"/>
          <w:szCs w:val="16"/>
        </w:rPr>
      </w:pPr>
      <w:r w:rsidRPr="003E22BF">
        <w:rPr>
          <w:rFonts w:ascii="Arial" w:eastAsia="Arial" w:hAnsi="Arial" w:cs="Arial"/>
          <w:sz w:val="16"/>
          <w:szCs w:val="16"/>
        </w:rPr>
        <w:t xml:space="preserve">John Gordon, </w:t>
      </w:r>
      <w:r w:rsidRPr="003E22BF">
        <w:rPr>
          <w:rFonts w:ascii="Arial" w:eastAsia="Arial" w:hAnsi="Arial" w:cs="Arial"/>
          <w:i/>
          <w:sz w:val="16"/>
          <w:szCs w:val="16"/>
        </w:rPr>
        <w:t>South Carolina and the American Revolution: A Battlefield History</w:t>
      </w:r>
      <w:r w:rsidRPr="003E22BF">
        <w:rPr>
          <w:rFonts w:ascii="Arial" w:eastAsia="Arial" w:hAnsi="Arial" w:cs="Arial"/>
          <w:sz w:val="16"/>
          <w:szCs w:val="16"/>
        </w:rPr>
        <w:t xml:space="preserve"> (Columbia: University of South Carolina Press, 2003), 156-157.</w:t>
      </w:r>
    </w:p>
    <w:p w:rsidR="00CD5327" w:rsidRPr="003E22BF" w:rsidRDefault="00CD5327">
      <w:r w:rsidRPr="003E22BF">
        <w:br w:type="page"/>
      </w:r>
    </w:p>
    <w:p w:rsidR="000A6992" w:rsidRPr="003E22BF" w:rsidRDefault="00CD5327">
      <w:pPr>
        <w:rPr>
          <w:rFonts w:ascii="Arial" w:eastAsia="Arial" w:hAnsi="Arial" w:cs="Arial"/>
          <w:sz w:val="20"/>
          <w:szCs w:val="20"/>
        </w:rPr>
      </w:pPr>
      <w:r w:rsidRPr="003E22BF">
        <w:lastRenderedPageBreak/>
        <w:t>4.</w:t>
      </w:r>
      <w:r w:rsidRPr="003E22BF">
        <w:tab/>
      </w:r>
      <w:r w:rsidRPr="003E22BF">
        <w:rPr>
          <w:rFonts w:ascii="Arial" w:eastAsia="Arial" w:hAnsi="Arial" w:cs="Arial"/>
          <w:sz w:val="20"/>
          <w:szCs w:val="20"/>
        </w:rPr>
        <w:t>Comparison Sheet for Siege Operations at Ninety Six</w:t>
      </w:r>
    </w:p>
    <w:p w:rsidR="00CD5327" w:rsidRPr="003E22BF" w:rsidRDefault="00CD5327">
      <w:pPr>
        <w:rPr>
          <w:rFonts w:ascii="Arial" w:eastAsia="Arial" w:hAnsi="Arial" w:cs="Arial"/>
          <w:sz w:val="20"/>
          <w:szCs w:val="20"/>
        </w:rPr>
      </w:pPr>
    </w:p>
    <w:p w:rsidR="00CD5327" w:rsidRPr="003E22BF" w:rsidRDefault="00CD5327">
      <w:pPr>
        <w:rPr>
          <w:rFonts w:ascii="Arial" w:eastAsia="Arial" w:hAnsi="Arial" w:cs="Arial"/>
          <w:sz w:val="20"/>
          <w:szCs w:val="20"/>
        </w:rPr>
      </w:pPr>
      <w:r w:rsidRPr="003E22BF">
        <w:rPr>
          <w:rFonts w:ascii="Arial" w:eastAsia="Arial" w:hAnsi="Arial" w:cs="Arial"/>
          <w:sz w:val="20"/>
          <w:szCs w:val="20"/>
        </w:rPr>
        <w:t>This sheet is designed for students to question the reading passage and build an understanding of how the text is structured and the author uses different vocabulary to convey meaning.</w:t>
      </w:r>
    </w:p>
    <w:p w:rsidR="00CD5327" w:rsidRPr="003E22BF" w:rsidRDefault="00CD5327">
      <w:pPr>
        <w:rPr>
          <w:rFonts w:ascii="Arial" w:eastAsia="Arial" w:hAnsi="Arial" w:cs="Arial"/>
          <w:sz w:val="20"/>
          <w:szCs w:val="20"/>
        </w:rPr>
      </w:pPr>
    </w:p>
    <w:tbl>
      <w:tblPr>
        <w:tblStyle w:val="TableGrid"/>
        <w:tblW w:w="0" w:type="auto"/>
        <w:jc w:val="center"/>
        <w:tblLook w:val="01E0" w:firstRow="1" w:lastRow="1" w:firstColumn="1" w:lastColumn="1" w:noHBand="0" w:noVBand="0"/>
      </w:tblPr>
      <w:tblGrid>
        <w:gridCol w:w="8892"/>
      </w:tblGrid>
      <w:tr w:rsidR="003E22BF" w:rsidRPr="003E22BF" w:rsidTr="00091C45">
        <w:trPr>
          <w:jc w:val="center"/>
        </w:trPr>
        <w:tc>
          <w:tcPr>
            <w:tcW w:w="8892" w:type="dxa"/>
          </w:tcPr>
          <w:p w:rsidR="00CD5327" w:rsidRPr="003E22BF" w:rsidRDefault="00CD5327" w:rsidP="00091C45">
            <w:pPr>
              <w:jc w:val="center"/>
              <w:rPr>
                <w:b/>
                <w:sz w:val="22"/>
                <w:szCs w:val="22"/>
              </w:rPr>
            </w:pPr>
            <w:r w:rsidRPr="003E22BF">
              <w:rPr>
                <w:b/>
                <w:sz w:val="22"/>
                <w:szCs w:val="22"/>
              </w:rPr>
              <w:t>Siege Operations at Ninety Six</w:t>
            </w:r>
          </w:p>
        </w:tc>
      </w:tr>
      <w:tr w:rsidR="003E22BF" w:rsidRPr="003E22BF" w:rsidTr="00091C45">
        <w:trPr>
          <w:jc w:val="center"/>
        </w:trPr>
        <w:tc>
          <w:tcPr>
            <w:tcW w:w="8892" w:type="dxa"/>
          </w:tcPr>
          <w:p w:rsidR="00CD5327" w:rsidRPr="003E22BF" w:rsidRDefault="00CD5327" w:rsidP="00091C45">
            <w:pPr>
              <w:rPr>
                <w:b/>
                <w:sz w:val="22"/>
                <w:szCs w:val="22"/>
              </w:rPr>
            </w:pPr>
            <w:r w:rsidRPr="003E22BF">
              <w:rPr>
                <w:b/>
                <w:sz w:val="22"/>
                <w:szCs w:val="22"/>
              </w:rPr>
              <w:t>Purpose</w:t>
            </w:r>
          </w:p>
          <w:p w:rsidR="00CD5327" w:rsidRPr="003E22BF" w:rsidRDefault="00CD5327" w:rsidP="00091C45">
            <w:pPr>
              <w:rPr>
                <w:b/>
                <w:sz w:val="22"/>
                <w:szCs w:val="22"/>
              </w:rPr>
            </w:pPr>
            <w:r w:rsidRPr="003E22BF">
              <w:rPr>
                <w:b/>
                <w:sz w:val="22"/>
                <w:szCs w:val="22"/>
              </w:rPr>
              <w:t>Why did the author write this piece?</w:t>
            </w:r>
          </w:p>
          <w:p w:rsidR="00CD5327" w:rsidRPr="003E22BF" w:rsidRDefault="00CD5327" w:rsidP="00CD5327">
            <w:pPr>
              <w:numPr>
                <w:ilvl w:val="0"/>
                <w:numId w:val="4"/>
              </w:numPr>
              <w:spacing w:line="276" w:lineRule="auto"/>
              <w:rPr>
                <w:sz w:val="22"/>
                <w:szCs w:val="22"/>
              </w:rPr>
            </w:pPr>
            <w:r w:rsidRPr="003E22BF">
              <w:rPr>
                <w:sz w:val="22"/>
                <w:szCs w:val="22"/>
              </w:rPr>
              <w:t xml:space="preserve">  </w:t>
            </w:r>
          </w:p>
          <w:p w:rsidR="00CD5327" w:rsidRPr="003E22BF" w:rsidRDefault="00CD5327" w:rsidP="00CD5327">
            <w:pPr>
              <w:numPr>
                <w:ilvl w:val="0"/>
                <w:numId w:val="4"/>
              </w:numPr>
              <w:spacing w:line="276" w:lineRule="auto"/>
              <w:rPr>
                <w:sz w:val="22"/>
                <w:szCs w:val="22"/>
              </w:rPr>
            </w:pPr>
            <w:r w:rsidRPr="003E22BF">
              <w:rPr>
                <w:sz w:val="22"/>
                <w:szCs w:val="22"/>
              </w:rPr>
              <w:t xml:space="preserve">  </w:t>
            </w:r>
          </w:p>
          <w:p w:rsidR="00CD5327" w:rsidRPr="003E22BF" w:rsidRDefault="00CD5327" w:rsidP="00CD5327">
            <w:pPr>
              <w:numPr>
                <w:ilvl w:val="0"/>
                <w:numId w:val="4"/>
              </w:numPr>
              <w:spacing w:line="276" w:lineRule="auto"/>
              <w:rPr>
                <w:sz w:val="22"/>
                <w:szCs w:val="22"/>
              </w:rPr>
            </w:pPr>
            <w:r w:rsidRPr="003E22BF">
              <w:rPr>
                <w:sz w:val="22"/>
                <w:szCs w:val="22"/>
              </w:rPr>
              <w:t xml:space="preserve">  </w:t>
            </w:r>
          </w:p>
          <w:p w:rsidR="00CD5327" w:rsidRPr="003E22BF" w:rsidRDefault="00CD5327" w:rsidP="00CD5327">
            <w:pPr>
              <w:numPr>
                <w:ilvl w:val="0"/>
                <w:numId w:val="4"/>
              </w:numPr>
              <w:spacing w:line="276" w:lineRule="auto"/>
              <w:rPr>
                <w:sz w:val="22"/>
                <w:szCs w:val="22"/>
              </w:rPr>
            </w:pPr>
            <w:r w:rsidRPr="003E22BF">
              <w:rPr>
                <w:sz w:val="22"/>
                <w:szCs w:val="22"/>
              </w:rPr>
              <w:t xml:space="preserve">  </w:t>
            </w:r>
          </w:p>
        </w:tc>
      </w:tr>
      <w:tr w:rsidR="003E22BF" w:rsidRPr="003E22BF" w:rsidTr="00091C45">
        <w:trPr>
          <w:jc w:val="center"/>
        </w:trPr>
        <w:tc>
          <w:tcPr>
            <w:tcW w:w="8892" w:type="dxa"/>
          </w:tcPr>
          <w:p w:rsidR="00CD5327" w:rsidRPr="003E22BF" w:rsidRDefault="00CD5327" w:rsidP="00091C45">
            <w:pPr>
              <w:rPr>
                <w:b/>
                <w:sz w:val="22"/>
                <w:szCs w:val="22"/>
              </w:rPr>
            </w:pPr>
            <w:r w:rsidRPr="003E22BF">
              <w:rPr>
                <w:b/>
                <w:sz w:val="22"/>
                <w:szCs w:val="22"/>
              </w:rPr>
              <w:t>Vocabulary</w:t>
            </w:r>
          </w:p>
          <w:p w:rsidR="00CD5327" w:rsidRPr="003E22BF" w:rsidRDefault="00CD5327" w:rsidP="00091C45">
            <w:pPr>
              <w:rPr>
                <w:b/>
                <w:sz w:val="22"/>
                <w:szCs w:val="22"/>
              </w:rPr>
            </w:pPr>
            <w:r w:rsidRPr="003E22BF">
              <w:rPr>
                <w:b/>
                <w:sz w:val="22"/>
                <w:szCs w:val="22"/>
              </w:rPr>
              <w:t>What kinds of vocabulary words did the author use?</w:t>
            </w:r>
          </w:p>
          <w:p w:rsidR="00CD5327" w:rsidRPr="003E22BF" w:rsidRDefault="00CD5327" w:rsidP="00CD5327">
            <w:pPr>
              <w:numPr>
                <w:ilvl w:val="0"/>
                <w:numId w:val="5"/>
              </w:numPr>
              <w:spacing w:line="276" w:lineRule="auto"/>
              <w:rPr>
                <w:sz w:val="22"/>
                <w:szCs w:val="22"/>
              </w:rPr>
            </w:pPr>
            <w:r w:rsidRPr="003E22BF">
              <w:rPr>
                <w:sz w:val="22"/>
                <w:szCs w:val="22"/>
              </w:rPr>
              <w:t xml:space="preserve">  </w:t>
            </w:r>
          </w:p>
          <w:p w:rsidR="00CD5327" w:rsidRPr="003E22BF" w:rsidRDefault="00CD5327" w:rsidP="00CD5327">
            <w:pPr>
              <w:numPr>
                <w:ilvl w:val="0"/>
                <w:numId w:val="5"/>
              </w:numPr>
              <w:spacing w:line="276" w:lineRule="auto"/>
              <w:rPr>
                <w:sz w:val="22"/>
                <w:szCs w:val="22"/>
              </w:rPr>
            </w:pPr>
            <w:r w:rsidRPr="003E22BF">
              <w:rPr>
                <w:sz w:val="22"/>
                <w:szCs w:val="22"/>
              </w:rPr>
              <w:t xml:space="preserve">  </w:t>
            </w:r>
          </w:p>
          <w:p w:rsidR="00CD5327" w:rsidRPr="003E22BF" w:rsidRDefault="00CD5327" w:rsidP="00CD5327">
            <w:pPr>
              <w:numPr>
                <w:ilvl w:val="0"/>
                <w:numId w:val="5"/>
              </w:numPr>
              <w:spacing w:line="276" w:lineRule="auto"/>
              <w:rPr>
                <w:sz w:val="22"/>
                <w:szCs w:val="22"/>
              </w:rPr>
            </w:pPr>
            <w:r w:rsidRPr="003E22BF">
              <w:rPr>
                <w:sz w:val="22"/>
                <w:szCs w:val="22"/>
              </w:rPr>
              <w:t xml:space="preserve">  </w:t>
            </w:r>
          </w:p>
          <w:p w:rsidR="00CD5327" w:rsidRPr="003E22BF" w:rsidRDefault="00CD5327" w:rsidP="00CD5327">
            <w:pPr>
              <w:numPr>
                <w:ilvl w:val="0"/>
                <w:numId w:val="5"/>
              </w:numPr>
              <w:spacing w:line="276" w:lineRule="auto"/>
              <w:rPr>
                <w:sz w:val="22"/>
                <w:szCs w:val="22"/>
              </w:rPr>
            </w:pPr>
            <w:r w:rsidRPr="003E22BF">
              <w:rPr>
                <w:sz w:val="22"/>
                <w:szCs w:val="22"/>
              </w:rPr>
              <w:t xml:space="preserve">  </w:t>
            </w:r>
          </w:p>
          <w:p w:rsidR="00CD5327" w:rsidRPr="003E22BF" w:rsidRDefault="00CD5327" w:rsidP="00CD5327">
            <w:pPr>
              <w:numPr>
                <w:ilvl w:val="0"/>
                <w:numId w:val="5"/>
              </w:numPr>
              <w:spacing w:line="276" w:lineRule="auto"/>
              <w:rPr>
                <w:sz w:val="22"/>
                <w:szCs w:val="22"/>
              </w:rPr>
            </w:pPr>
            <w:r w:rsidRPr="003E22BF">
              <w:rPr>
                <w:sz w:val="22"/>
                <w:szCs w:val="22"/>
              </w:rPr>
              <w:t xml:space="preserve">  </w:t>
            </w:r>
          </w:p>
          <w:p w:rsidR="00CD5327" w:rsidRPr="003E22BF" w:rsidRDefault="00CD5327" w:rsidP="00CD5327">
            <w:pPr>
              <w:numPr>
                <w:ilvl w:val="0"/>
                <w:numId w:val="5"/>
              </w:numPr>
              <w:spacing w:line="276" w:lineRule="auto"/>
              <w:rPr>
                <w:sz w:val="22"/>
                <w:szCs w:val="22"/>
              </w:rPr>
            </w:pPr>
            <w:r w:rsidRPr="003E22BF">
              <w:rPr>
                <w:sz w:val="22"/>
                <w:szCs w:val="22"/>
              </w:rPr>
              <w:t xml:space="preserve">  </w:t>
            </w:r>
          </w:p>
        </w:tc>
      </w:tr>
      <w:tr w:rsidR="003E22BF" w:rsidRPr="003E22BF" w:rsidTr="00091C45">
        <w:trPr>
          <w:jc w:val="center"/>
        </w:trPr>
        <w:tc>
          <w:tcPr>
            <w:tcW w:w="8892" w:type="dxa"/>
          </w:tcPr>
          <w:p w:rsidR="00CD5327" w:rsidRPr="003E22BF" w:rsidRDefault="00CD5327" w:rsidP="00091C45">
            <w:pPr>
              <w:rPr>
                <w:b/>
                <w:sz w:val="22"/>
                <w:szCs w:val="22"/>
              </w:rPr>
            </w:pPr>
            <w:r w:rsidRPr="003E22BF">
              <w:rPr>
                <w:b/>
                <w:sz w:val="22"/>
                <w:szCs w:val="22"/>
              </w:rPr>
              <w:t>Structure</w:t>
            </w:r>
          </w:p>
          <w:p w:rsidR="00CD5327" w:rsidRPr="003E22BF" w:rsidRDefault="00CD5327" w:rsidP="00091C45">
            <w:pPr>
              <w:rPr>
                <w:b/>
                <w:sz w:val="22"/>
                <w:szCs w:val="22"/>
              </w:rPr>
            </w:pPr>
            <w:r w:rsidRPr="003E22BF">
              <w:rPr>
                <w:b/>
                <w:sz w:val="22"/>
                <w:szCs w:val="22"/>
              </w:rPr>
              <w:t xml:space="preserve">How is the piece organized?  </w:t>
            </w:r>
          </w:p>
          <w:p w:rsidR="00CD5327" w:rsidRPr="003E22BF" w:rsidRDefault="00CD5327" w:rsidP="00CD5327">
            <w:pPr>
              <w:numPr>
                <w:ilvl w:val="0"/>
                <w:numId w:val="6"/>
              </w:numPr>
              <w:spacing w:line="276" w:lineRule="auto"/>
              <w:rPr>
                <w:sz w:val="22"/>
                <w:szCs w:val="22"/>
              </w:rPr>
            </w:pPr>
            <w:r w:rsidRPr="003E22BF">
              <w:rPr>
                <w:sz w:val="22"/>
                <w:szCs w:val="22"/>
              </w:rPr>
              <w:t xml:space="preserve">  </w:t>
            </w:r>
          </w:p>
          <w:p w:rsidR="00CD5327" w:rsidRPr="003E22BF" w:rsidRDefault="00CD5327" w:rsidP="00CD5327">
            <w:pPr>
              <w:numPr>
                <w:ilvl w:val="0"/>
                <w:numId w:val="6"/>
              </w:numPr>
              <w:spacing w:line="276" w:lineRule="auto"/>
              <w:rPr>
                <w:sz w:val="22"/>
                <w:szCs w:val="22"/>
              </w:rPr>
            </w:pPr>
            <w:r w:rsidRPr="003E22BF">
              <w:rPr>
                <w:sz w:val="22"/>
                <w:szCs w:val="22"/>
              </w:rPr>
              <w:t xml:space="preserve">  </w:t>
            </w:r>
          </w:p>
          <w:p w:rsidR="00CD5327" w:rsidRPr="003E22BF" w:rsidRDefault="00CD5327" w:rsidP="00CD5327">
            <w:pPr>
              <w:numPr>
                <w:ilvl w:val="0"/>
                <w:numId w:val="6"/>
              </w:numPr>
              <w:spacing w:line="276" w:lineRule="auto"/>
              <w:rPr>
                <w:sz w:val="22"/>
                <w:szCs w:val="22"/>
              </w:rPr>
            </w:pPr>
            <w:r w:rsidRPr="003E22BF">
              <w:rPr>
                <w:sz w:val="22"/>
                <w:szCs w:val="22"/>
              </w:rPr>
              <w:t xml:space="preserve">  </w:t>
            </w:r>
          </w:p>
          <w:p w:rsidR="00CD5327" w:rsidRPr="003E22BF" w:rsidRDefault="00CD5327" w:rsidP="00CD5327">
            <w:pPr>
              <w:numPr>
                <w:ilvl w:val="0"/>
                <w:numId w:val="6"/>
              </w:numPr>
              <w:spacing w:line="276" w:lineRule="auto"/>
              <w:rPr>
                <w:sz w:val="22"/>
                <w:szCs w:val="22"/>
              </w:rPr>
            </w:pPr>
            <w:r w:rsidRPr="003E22BF">
              <w:rPr>
                <w:sz w:val="22"/>
                <w:szCs w:val="22"/>
              </w:rPr>
              <w:t xml:space="preserve">  </w:t>
            </w:r>
          </w:p>
        </w:tc>
      </w:tr>
    </w:tbl>
    <w:p w:rsidR="00CD5327" w:rsidRPr="003E22BF" w:rsidRDefault="00CD5327"/>
    <w:sectPr w:rsidR="00CD5327" w:rsidRPr="003E22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B41A6"/>
    <w:multiLevelType w:val="hybridMultilevel"/>
    <w:tmpl w:val="A1E8BD38"/>
    <w:lvl w:ilvl="0" w:tplc="0409000F">
      <w:start w:val="1"/>
      <w:numFmt w:val="decimal"/>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551249"/>
    <w:multiLevelType w:val="hybridMultilevel"/>
    <w:tmpl w:val="4EFEE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140671"/>
    <w:multiLevelType w:val="hybridMultilevel"/>
    <w:tmpl w:val="4D88EBF4"/>
    <w:lvl w:ilvl="0" w:tplc="0409000F">
      <w:start w:val="1"/>
      <w:numFmt w:val="decimal"/>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6B2B6D"/>
    <w:multiLevelType w:val="hybridMultilevel"/>
    <w:tmpl w:val="652E0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BE4EF4"/>
    <w:multiLevelType w:val="hybridMultilevel"/>
    <w:tmpl w:val="44526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E429F5"/>
    <w:multiLevelType w:val="hybridMultilevel"/>
    <w:tmpl w:val="9BE2A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992"/>
    <w:rsid w:val="000A6992"/>
    <w:rsid w:val="003E22BF"/>
    <w:rsid w:val="00433324"/>
    <w:rsid w:val="00CD5327"/>
    <w:rsid w:val="00D23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699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53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699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53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dc:creator>
  <cp:lastModifiedBy>Chang, Theodora E</cp:lastModifiedBy>
  <cp:revision>2</cp:revision>
  <dcterms:created xsi:type="dcterms:W3CDTF">2016-01-14T18:07:00Z</dcterms:created>
  <dcterms:modified xsi:type="dcterms:W3CDTF">2016-01-14T18:07:00Z</dcterms:modified>
</cp:coreProperties>
</file>