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0BF9" w14:textId="5F263AE1" w:rsidR="00640FB2" w:rsidRPr="003802D6" w:rsidRDefault="005B2CCF">
      <w:pPr>
        <w:tabs>
          <w:tab w:val="center" w:pos="3150"/>
        </w:tabs>
        <w:ind w:left="180"/>
        <w:rPr>
          <w:color w:val="000080"/>
          <w:sz w:val="22"/>
          <w:szCs w:val="22"/>
        </w:rPr>
      </w:pPr>
      <w:r>
        <w:rPr>
          <w:sz w:val="22"/>
          <w:szCs w:val="22"/>
        </w:rPr>
        <w:pict w14:anchorId="6A3E6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epartment of Interior logo" style="position:absolute;left:0;text-align:left;margin-left:-9.6pt;margin-top:.15pt;width:73.85pt;height:74.05pt;z-index:251658240;mso-position-horizontal-relative:text;mso-position-vertical-relative:text" o:allowincell="f">
            <v:imagedata r:id="rId8" o:title=""/>
            <w10:wrap type="topAndBottom"/>
          </v:shape>
        </w:pict>
      </w:r>
      <w:r w:rsidR="00AC3AD8" w:rsidRPr="003802D6">
        <w:rPr>
          <w:noProof/>
          <w:sz w:val="22"/>
          <w:szCs w:val="22"/>
        </w:rPr>
        <mc:AlternateContent>
          <mc:Choice Requires="wps">
            <w:drawing>
              <wp:anchor distT="91440" distB="91440" distL="365760" distR="365760" simplePos="0" relativeHeight="251660288" behindDoc="0" locked="0" layoutInCell="1" allowOverlap="1" wp14:anchorId="2602A235" wp14:editId="5AEE6B6F">
                <wp:simplePos x="0" y="0"/>
                <wp:positionH relativeFrom="margin">
                  <wp:posOffset>-151886</wp:posOffset>
                </wp:positionH>
                <wp:positionV relativeFrom="margin">
                  <wp:posOffset>863868</wp:posOffset>
                </wp:positionV>
                <wp:extent cx="1037590" cy="285115"/>
                <wp:effectExtent l="0" t="0" r="0" b="635"/>
                <wp:wrapTopAndBottom/>
                <wp:docPr id="146" name="Rectangle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37590"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1BDDE" w14:textId="77777777" w:rsidR="00912BC7" w:rsidRDefault="00912BC7">
                            <w:pPr>
                              <w:pStyle w:val="NoSpacing"/>
                              <w:jc w:val="center"/>
                              <w:rPr>
                                <w:color w:val="4F81BD" w:themeColor="accent1"/>
                              </w:rPr>
                            </w:pPr>
                          </w:p>
                          <w:p w14:paraId="056DB270" w14:textId="77777777" w:rsidR="00912BC7" w:rsidRDefault="00912BC7" w:rsidP="00912BC7">
                            <w:pPr>
                              <w:tabs>
                                <w:tab w:val="center" w:pos="3150"/>
                              </w:tabs>
                              <w:rPr>
                                <w:smallCaps/>
                                <w:color w:val="002868"/>
                                <w:sz w:val="14"/>
                              </w:rPr>
                            </w:pPr>
                            <w:r w:rsidRPr="004821E5">
                              <w:rPr>
                                <w:color w:val="002868"/>
                                <w:sz w:val="14"/>
                              </w:rPr>
                              <w:t>I</w:t>
                            </w:r>
                            <w:r w:rsidRPr="004821E5">
                              <w:rPr>
                                <w:smallCaps/>
                                <w:color w:val="002868"/>
                                <w:sz w:val="14"/>
                              </w:rPr>
                              <w:t>n Reply Refer to</w:t>
                            </w:r>
                            <w:r w:rsidRPr="00757942">
                              <w:rPr>
                                <w:smallCaps/>
                                <w:color w:val="002868"/>
                                <w:sz w:val="14"/>
                              </w:rPr>
                              <w:t>:</w:t>
                            </w:r>
                          </w:p>
                          <w:p w14:paraId="5C631C6C" w14:textId="77777777" w:rsidR="00912BC7" w:rsidRDefault="00912BC7">
                            <w:pPr>
                              <w:pStyle w:val="NoSpacing"/>
                              <w:spacing w:before="240"/>
                              <w:jc w:val="center"/>
                              <w:rPr>
                                <w:color w:val="4F81BD"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2A235" id="Rectangle 146" o:spid="_x0000_s1026" style="position:absolute;left:0;text-align:left;margin-left:-11.95pt;margin-top:68pt;width:81.7pt;height:22.45pt;z-index:25166028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yGhgIAAGMFAAAOAAAAZHJzL2Uyb0RvYy54bWysVE1v2zAMvQ/YfxB0X22nS9sZdYqgRYcB&#10;RRu0HXpWZCk2IIuapMTOfv0oyXE/scOwHByKIh/JJ5LnF0OnyE5Y14KuaHGUUyI0h7rVm4r+fLz+&#10;ckaJ80zXTIEWFd0LRy8Wnz+d96YUM2hA1cISBNGu7E1FG+9NmWWON6Jj7giM0HgpwXbM49Fustqy&#10;HtE7lc3y/CTrwdbGAhfOofYqXdJFxJdScH8npROeqIpibj5+bfyuwzdbnLNyY5lpWj6mwf4hi461&#10;GoNOUFfMM7K17TuoruUWHEh/xKHLQMqWi1gDVlPkb6p5aJgRsRYkx5mJJvf/YPntbmVJW+PbfT2h&#10;RLMOH+keaWN6owQJSqSoN65EywezsuPJoRjqHaTtwj9WQoZI636iVQyecFQW+fHp/Buyz/FudjYv&#10;inkAzZ69jXX+u4COBKGiFuNHNtnuxvlkejAJwTRct0qhnpVKv1IgZtBkIeGUYpT8XolkfS8kVotJ&#10;zWKA2GfiUlmyY9ghjHOhfZGuGlaLpJ7n+BtTnjxiAUojYECWmNCEPQKEHn6PncoZ7YOriG06Oed/&#10;Syw5Tx4xMmg/OXetBvsRgMKqxsjJ/kBSoiaw5If1gCZBXEO9x7awkObFGX7d4svcMOdXzOKA4GPi&#10;0Ps7/EgFfUVhlChpwP7+SB/ssW/xlpIeB66i7teWWUGJ+qGxo4vj0+IkjGg8oWBfqdcHtd52l4Bv&#10;VeBiMTyKwdirgygtdE+4FZYhHl4xzTFqRf1BvPRpAeBW4WK5jEY4jYb5G/1geIAOxIaOexyemDVj&#10;W3ps6Fs4DCUr33Rnsg2eGpZbD7KNrfvM50g5TnLsnXHrhFXx8hytnnfj4g8AAAD//wMAUEsDBBQA&#10;BgAIAAAAIQDcx9tC4gAAAAsBAAAPAAAAZHJzL2Rvd25yZXYueG1sTI/NTsMwEITvSLyDtUjcWodG&#10;VE2IU/ErIQ4IGoTEzYm3SdR4HcVua3h6tie47Wg+zc4U62gHccDJ944UXM0TEEiNMz21Cj6qp9kK&#10;hA+ajB4coYJv9LAuz88KnRt3pHc8bEIrOIR8rhV0IYy5lL7p0Go/dyMSe1s3WR1YTq00kz5yuB3k&#10;IkmW0uqe+EOnR7zvsNlt9laBr7e7t/iVjS8PP3evzxEfP6sqUeryIt7egAgYwx8Mp/pcHUruVLs9&#10;GS8GBbNFmjHKRrrkUSciza5B1HyskgxkWcj/G8pfAAAA//8DAFBLAQItABQABgAIAAAAIQC2gziS&#10;/gAAAOEBAAATAAAAAAAAAAAAAAAAAAAAAABbQ29udGVudF9UeXBlc10ueG1sUEsBAi0AFAAGAAgA&#10;AAAhADj9If/WAAAAlAEAAAsAAAAAAAAAAAAAAAAALwEAAF9yZWxzLy5yZWxzUEsBAi0AFAAGAAgA&#10;AAAhALDaLIaGAgAAYwUAAA4AAAAAAAAAAAAAAAAALgIAAGRycy9lMm9Eb2MueG1sUEsBAi0AFAAG&#10;AAgAAAAhANzH20LiAAAACwEAAA8AAAAAAAAAAAAAAAAA4AQAAGRycy9kb3ducmV2LnhtbFBLBQYA&#10;AAAABAAEAPMAAADvBQAAAAA=&#10;" filled="f" stroked="f" strokeweight="2pt">
                <v:textbox inset="10.8pt,0,10.8pt,0">
                  <w:txbxContent>
                    <w:p w14:paraId="2CD1BDDE" w14:textId="77777777" w:rsidR="00912BC7" w:rsidRDefault="00912BC7">
                      <w:pPr>
                        <w:pStyle w:val="NoSpacing"/>
                        <w:jc w:val="center"/>
                        <w:rPr>
                          <w:color w:val="4F81BD" w:themeColor="accent1"/>
                        </w:rPr>
                      </w:pPr>
                    </w:p>
                    <w:p w14:paraId="056DB270" w14:textId="77777777" w:rsidR="00912BC7" w:rsidRDefault="00912BC7" w:rsidP="00912BC7">
                      <w:pPr>
                        <w:tabs>
                          <w:tab w:val="center" w:pos="3150"/>
                        </w:tabs>
                        <w:rPr>
                          <w:smallCaps/>
                          <w:color w:val="002868"/>
                          <w:sz w:val="14"/>
                        </w:rPr>
                      </w:pPr>
                      <w:r w:rsidRPr="004821E5">
                        <w:rPr>
                          <w:color w:val="002868"/>
                          <w:sz w:val="14"/>
                        </w:rPr>
                        <w:t>I</w:t>
                      </w:r>
                      <w:r w:rsidRPr="004821E5">
                        <w:rPr>
                          <w:smallCaps/>
                          <w:color w:val="002868"/>
                          <w:sz w:val="14"/>
                        </w:rPr>
                        <w:t>n Reply Refer to</w:t>
                      </w:r>
                      <w:r w:rsidRPr="00757942">
                        <w:rPr>
                          <w:smallCaps/>
                          <w:color w:val="002868"/>
                          <w:sz w:val="14"/>
                        </w:rPr>
                        <w:t>:</w:t>
                      </w:r>
                    </w:p>
                    <w:p w14:paraId="5C631C6C" w14:textId="77777777" w:rsidR="00912BC7" w:rsidRDefault="00912BC7">
                      <w:pPr>
                        <w:pStyle w:val="NoSpacing"/>
                        <w:spacing w:before="240"/>
                        <w:jc w:val="center"/>
                        <w:rPr>
                          <w:color w:val="4F81BD" w:themeColor="accent1"/>
                        </w:rPr>
                      </w:pPr>
                    </w:p>
                  </w:txbxContent>
                </v:textbox>
                <w10:wrap type="topAndBottom" anchorx="margin" anchory="margin"/>
              </v:rect>
            </w:pict>
          </mc:Fallback>
        </mc:AlternateContent>
      </w:r>
      <w:r w:rsidR="009A5F04" w:rsidRPr="003802D6">
        <w:rPr>
          <w:noProof/>
          <w:sz w:val="22"/>
          <w:szCs w:val="22"/>
        </w:rPr>
        <mc:AlternateContent>
          <mc:Choice Requires="wps">
            <w:drawing>
              <wp:anchor distT="0" distB="0" distL="114300" distR="114300" simplePos="0" relativeHeight="251657216" behindDoc="0" locked="0" layoutInCell="0" allowOverlap="1" wp14:anchorId="348B5F1D" wp14:editId="079C64D5">
                <wp:simplePos x="0" y="0"/>
                <wp:positionH relativeFrom="column">
                  <wp:posOffset>1093470</wp:posOffset>
                </wp:positionH>
                <wp:positionV relativeFrom="page">
                  <wp:posOffset>818515</wp:posOffset>
                </wp:positionV>
                <wp:extent cx="4015740" cy="1587500"/>
                <wp:effectExtent l="0" t="0" r="3810" b="0"/>
                <wp:wrapTopAndBottom/>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5875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6EC010"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59CB100F" w14:textId="77777777" w:rsidR="00640FB2" w:rsidRPr="009274C7" w:rsidRDefault="00640FB2">
                            <w:pPr>
                              <w:tabs>
                                <w:tab w:val="center" w:pos="3150"/>
                              </w:tabs>
                              <w:ind w:right="1422"/>
                              <w:jc w:val="center"/>
                              <w:rPr>
                                <w:b/>
                                <w:color w:val="002868"/>
                                <w:sz w:val="16"/>
                              </w:rPr>
                            </w:pPr>
                          </w:p>
                          <w:p w14:paraId="5E33FF04"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0BCB280E"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0BCC4E45" w14:textId="77777777" w:rsidR="001059C2" w:rsidRPr="009274C7" w:rsidRDefault="001059C2" w:rsidP="001059C2">
                            <w:pPr>
                              <w:tabs>
                                <w:tab w:val="center" w:pos="3150"/>
                              </w:tabs>
                              <w:ind w:right="1422"/>
                              <w:jc w:val="center"/>
                              <w:rPr>
                                <w:color w:val="002868"/>
                                <w:sz w:val="20"/>
                              </w:rPr>
                            </w:pPr>
                            <w:r w:rsidRPr="009274C7">
                              <w:rPr>
                                <w:color w:val="002868"/>
                                <w:sz w:val="20"/>
                              </w:rPr>
                              <w:t xml:space="preserve">                           </w:t>
                            </w:r>
                            <w:r w:rsidR="0014147C" w:rsidRPr="009274C7">
                              <w:rPr>
                                <w:color w:val="002868"/>
                                <w:sz w:val="20"/>
                              </w:rPr>
                              <w:t xml:space="preserve">Interior </w:t>
                            </w:r>
                            <w:r w:rsidRPr="009274C7">
                              <w:rPr>
                                <w:color w:val="002868"/>
                                <w:sz w:val="20"/>
                              </w:rPr>
                              <w:t>Region 1</w:t>
                            </w:r>
                            <w:r w:rsidR="0014147C" w:rsidRPr="009274C7">
                              <w:rPr>
                                <w:color w:val="002868"/>
                                <w:sz w:val="20"/>
                              </w:rPr>
                              <w:t>-</w:t>
                            </w:r>
                            <w:r w:rsidRPr="009274C7">
                              <w:rPr>
                                <w:color w:val="002868"/>
                                <w:sz w:val="20"/>
                              </w:rPr>
                              <w:t xml:space="preserve"> National Capital Area</w:t>
                            </w:r>
                          </w:p>
                          <w:p w14:paraId="37E374D9"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2C06831F" w14:textId="77777777" w:rsidR="005A2C36" w:rsidRPr="009274C7"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10E11162" w14:textId="77777777" w:rsidR="00640FB2" w:rsidRDefault="00640FB2">
                            <w:pPr>
                              <w:tabs>
                                <w:tab w:val="center" w:pos="3150"/>
                              </w:tabs>
                              <w:ind w:right="1422"/>
                              <w:rPr>
                                <w:rFonts w:ascii="Book Antiqua" w:hAnsi="Book Antiqua"/>
                                <w:color w:val="002060"/>
                                <w:sz w:val="18"/>
                              </w:rPr>
                            </w:pPr>
                          </w:p>
                          <w:p w14:paraId="25649D44" w14:textId="77777777" w:rsidR="00912BC7" w:rsidRPr="00724EE7" w:rsidRDefault="00912BC7">
                            <w:pPr>
                              <w:tabs>
                                <w:tab w:val="center" w:pos="3150"/>
                              </w:tabs>
                              <w:ind w:right="1422"/>
                              <w:rPr>
                                <w:rFonts w:ascii="Book Antiqua" w:hAnsi="Book Antiqua"/>
                                <w:color w:val="00206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5F1D" id="Rectangle 3" o:spid="_x0000_s1027" style="position:absolute;left:0;text-align:left;margin-left:86.1pt;margin-top:64.45pt;width:316.2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Nr/wEAAOwDAAAOAAAAZHJzL2Uyb0RvYy54bWysU8Fu1DAQvSPxD5bvbJLSpVW02araahFS&#10;gaqFD3AcJ7FwPGbs3Wz5esZOshS4IXKwxvbMy5s3z5ub02DYUaHXYCterHLOlJXQaNtV/OuX/Ztr&#10;znwQthEGrKr4s/L8Zvv61WZ0pbqAHkyjkBGI9eXoKt6H4Mos87JXg/ArcMrSZQs4iEBb7LIGxUjo&#10;g8ku8vxdNgI2DkEq7+n0brrk24TftkqGz23rVWCm4sQtpBXTWsc1225E2aFwvZYzDfEPLAahLf30&#10;DHUngmAH1H9BDVoieGjDSsKQQdtqqVIP1E2R/9HNUy+cSr2QON6dZfL/D1Z+Oj4g0w3NjjMrBhrR&#10;I4kmbGcUexvlGZ0vKevJPWBs0Lt7kN88s7DrKUvdIsLYK9EQqSLmZ78VxI2nUlaPH6EhdHEIkJQ6&#10;tThEQNKAndJAns8DUafAJB1e5sX66pLmJumuWF9frfM0skyUS7lDH94rGFgMKo5EPsGL470PkY4o&#10;l5REH4xu9tqYtMGu3hlkR0Hu2KcvdUBdvkwzNiZbiGUT4nSikr/m3yyNToKFU32aVZ0lrKF5JhkQ&#10;JgvSk6GgB/zB2Uj2q7j/fhCoODMfLEkZvboEuAT1EggrqbTigbMp3IXJ0weHuusJuUgiWLgluVud&#10;hIgMJxbzkMhSSZ/Z/tGzL/cp69cj3f4EAAD//wMAUEsDBBQABgAIAAAAIQDKxqql3wAAAAsBAAAP&#10;AAAAZHJzL2Rvd25yZXYueG1sTI/BTsMwEETvSPyDtUjcqINBSQhxqgqpor2VJuLsxts4ENtR7Lbh&#10;79me4LazO5p9Uy5nO7AzTqH3TsLjIgGGrvW6d52Epl4/5MBCVE6rwTuU8IMBltXtTakK7S/uA8/7&#10;2DEKcaFQEkyMY8F5aA1aFRZ+REe3o5+siiSnjutJXSjcDlwkScqt6h19MGrEN4Pt9/5kJWQrX3+K&#10;zXazM7ujSpv8633d1FLe382rV2AR5/hnhis+oUNFTAd/cjqwgXQmBFlpEPkLMHLkyXMK7CDhKaMN&#10;r0r+v0P1CwAA//8DAFBLAQItABQABgAIAAAAIQC2gziS/gAAAOEBAAATAAAAAAAAAAAAAAAAAAAA&#10;AABbQ29udGVudF9UeXBlc10ueG1sUEsBAi0AFAAGAAgAAAAhADj9If/WAAAAlAEAAAsAAAAAAAAA&#10;AAAAAAAALwEAAF9yZWxzLy5yZWxzUEsBAi0AFAAGAAgAAAAhAG4nY2v/AQAA7AMAAA4AAAAAAAAA&#10;AAAAAAAALgIAAGRycy9lMm9Eb2MueG1sUEsBAi0AFAAGAAgAAAAhAMrGqqXfAAAACwEAAA8AAAAA&#10;AAAAAAAAAAAAWQQAAGRycy9kb3ducmV2LnhtbFBLBQYAAAAABAAEAPMAAABlBQAAAAA=&#10;" o:allowincell="f" stroked="f" strokeweight="0">
                <v:textbox inset="0,0,0,0">
                  <w:txbxContent>
                    <w:p w14:paraId="5E6EC010" w14:textId="77777777" w:rsidR="00640FB2" w:rsidRPr="009274C7" w:rsidRDefault="00640FB2">
                      <w:pPr>
                        <w:tabs>
                          <w:tab w:val="center" w:pos="3150"/>
                        </w:tabs>
                        <w:rPr>
                          <w:color w:val="002868"/>
                          <w:sz w:val="36"/>
                          <w:szCs w:val="36"/>
                        </w:rPr>
                      </w:pPr>
                      <w:r>
                        <w:rPr>
                          <w:rFonts w:ascii="Book Antiqua" w:hAnsi="Book Antiqua"/>
                          <w:sz w:val="36"/>
                        </w:rPr>
                        <w:tab/>
                      </w:r>
                      <w:r w:rsidRPr="009274C7">
                        <w:rPr>
                          <w:color w:val="002868"/>
                          <w:sz w:val="36"/>
                          <w:szCs w:val="36"/>
                        </w:rPr>
                        <w:t>United States Department of the Interior</w:t>
                      </w:r>
                    </w:p>
                    <w:p w14:paraId="59CB100F" w14:textId="77777777" w:rsidR="00640FB2" w:rsidRPr="009274C7" w:rsidRDefault="00640FB2">
                      <w:pPr>
                        <w:tabs>
                          <w:tab w:val="center" w:pos="3150"/>
                        </w:tabs>
                        <w:ind w:right="1422"/>
                        <w:jc w:val="center"/>
                        <w:rPr>
                          <w:b/>
                          <w:color w:val="002868"/>
                          <w:sz w:val="16"/>
                        </w:rPr>
                      </w:pPr>
                    </w:p>
                    <w:p w14:paraId="5E33FF04" w14:textId="77777777" w:rsidR="00580041" w:rsidRDefault="00640FB2" w:rsidP="00580041">
                      <w:pPr>
                        <w:tabs>
                          <w:tab w:val="center" w:pos="3150"/>
                        </w:tabs>
                        <w:ind w:right="1422"/>
                        <w:rPr>
                          <w:color w:val="002868"/>
                          <w:sz w:val="22"/>
                        </w:rPr>
                      </w:pPr>
                      <w:r w:rsidRPr="009274C7">
                        <w:rPr>
                          <w:color w:val="002868"/>
                          <w:sz w:val="22"/>
                        </w:rPr>
                        <w:tab/>
                      </w:r>
                      <w:r w:rsidR="00580041">
                        <w:rPr>
                          <w:color w:val="002868"/>
                          <w:sz w:val="22"/>
                        </w:rPr>
                        <w:t xml:space="preserve">  National Capital Parks-East</w:t>
                      </w:r>
                    </w:p>
                    <w:p w14:paraId="0BCB280E" w14:textId="77777777" w:rsidR="00580041" w:rsidRPr="009274C7" w:rsidRDefault="00580041" w:rsidP="00580041">
                      <w:pPr>
                        <w:tabs>
                          <w:tab w:val="center" w:pos="3150"/>
                        </w:tabs>
                        <w:ind w:right="1422"/>
                        <w:rPr>
                          <w:color w:val="002868"/>
                          <w:sz w:val="22"/>
                        </w:rPr>
                      </w:pPr>
                      <w:r>
                        <w:rPr>
                          <w:color w:val="002868"/>
                          <w:sz w:val="22"/>
                        </w:rPr>
                        <w:tab/>
                        <w:t>NATIONAL PARK SERVICE</w:t>
                      </w:r>
                    </w:p>
                    <w:p w14:paraId="0BCC4E45" w14:textId="77777777" w:rsidR="001059C2" w:rsidRPr="009274C7" w:rsidRDefault="001059C2" w:rsidP="001059C2">
                      <w:pPr>
                        <w:tabs>
                          <w:tab w:val="center" w:pos="3150"/>
                        </w:tabs>
                        <w:ind w:right="1422"/>
                        <w:jc w:val="center"/>
                        <w:rPr>
                          <w:color w:val="002868"/>
                          <w:sz w:val="20"/>
                        </w:rPr>
                      </w:pPr>
                      <w:r w:rsidRPr="009274C7">
                        <w:rPr>
                          <w:color w:val="002868"/>
                          <w:sz w:val="20"/>
                        </w:rPr>
                        <w:t xml:space="preserve">                           </w:t>
                      </w:r>
                      <w:r w:rsidR="0014147C" w:rsidRPr="009274C7">
                        <w:rPr>
                          <w:color w:val="002868"/>
                          <w:sz w:val="20"/>
                        </w:rPr>
                        <w:t xml:space="preserve">Interior </w:t>
                      </w:r>
                      <w:r w:rsidRPr="009274C7">
                        <w:rPr>
                          <w:color w:val="002868"/>
                          <w:sz w:val="20"/>
                        </w:rPr>
                        <w:t>Region 1</w:t>
                      </w:r>
                      <w:r w:rsidR="0014147C" w:rsidRPr="009274C7">
                        <w:rPr>
                          <w:color w:val="002868"/>
                          <w:sz w:val="20"/>
                        </w:rPr>
                        <w:t>-</w:t>
                      </w:r>
                      <w:r w:rsidRPr="009274C7">
                        <w:rPr>
                          <w:color w:val="002868"/>
                          <w:sz w:val="20"/>
                        </w:rPr>
                        <w:t xml:space="preserve"> National Capital Area</w:t>
                      </w:r>
                    </w:p>
                    <w:p w14:paraId="37E374D9" w14:textId="77777777" w:rsidR="005A2C36" w:rsidRPr="009274C7" w:rsidRDefault="00640FB2" w:rsidP="005A2C36">
                      <w:pPr>
                        <w:tabs>
                          <w:tab w:val="center" w:pos="3150"/>
                        </w:tabs>
                        <w:ind w:right="1422"/>
                        <w:rPr>
                          <w:color w:val="002868"/>
                          <w:sz w:val="20"/>
                        </w:rPr>
                      </w:pPr>
                      <w:r w:rsidRPr="009274C7">
                        <w:rPr>
                          <w:color w:val="002868"/>
                          <w:sz w:val="18"/>
                        </w:rPr>
                        <w:tab/>
                      </w:r>
                      <w:r w:rsidR="00580041">
                        <w:rPr>
                          <w:color w:val="002868"/>
                          <w:sz w:val="20"/>
                        </w:rPr>
                        <w:t>1900 Anacostia Drive, S.E</w:t>
                      </w:r>
                      <w:r w:rsidR="001059C2" w:rsidRPr="009274C7">
                        <w:rPr>
                          <w:color w:val="002868"/>
                          <w:sz w:val="20"/>
                        </w:rPr>
                        <w:t>.</w:t>
                      </w:r>
                    </w:p>
                    <w:p w14:paraId="2C06831F" w14:textId="77777777" w:rsidR="005A2C36" w:rsidRPr="009274C7" w:rsidRDefault="005A2C36" w:rsidP="005A2C36">
                      <w:pPr>
                        <w:tabs>
                          <w:tab w:val="center" w:pos="3150"/>
                        </w:tabs>
                        <w:ind w:right="1422"/>
                        <w:rPr>
                          <w:color w:val="002868"/>
                          <w:sz w:val="20"/>
                        </w:rPr>
                      </w:pPr>
                      <w:r w:rsidRPr="009274C7">
                        <w:rPr>
                          <w:rFonts w:ascii="Book Antiqua" w:hAnsi="Book Antiqua"/>
                          <w:color w:val="002868"/>
                          <w:sz w:val="18"/>
                        </w:rPr>
                        <w:tab/>
                      </w:r>
                      <w:r w:rsidR="00580041">
                        <w:rPr>
                          <w:color w:val="002868"/>
                          <w:sz w:val="20"/>
                        </w:rPr>
                        <w:t>Washington, D.C. 20020</w:t>
                      </w:r>
                    </w:p>
                    <w:p w14:paraId="10E11162" w14:textId="77777777" w:rsidR="00640FB2" w:rsidRDefault="00640FB2">
                      <w:pPr>
                        <w:tabs>
                          <w:tab w:val="center" w:pos="3150"/>
                        </w:tabs>
                        <w:ind w:right="1422"/>
                        <w:rPr>
                          <w:rFonts w:ascii="Book Antiqua" w:hAnsi="Book Antiqua"/>
                          <w:color w:val="002060"/>
                          <w:sz w:val="18"/>
                        </w:rPr>
                      </w:pPr>
                    </w:p>
                    <w:p w14:paraId="25649D44" w14:textId="77777777" w:rsidR="00912BC7" w:rsidRPr="00724EE7" w:rsidRDefault="00912BC7">
                      <w:pPr>
                        <w:tabs>
                          <w:tab w:val="center" w:pos="3150"/>
                        </w:tabs>
                        <w:ind w:right="1422"/>
                        <w:rPr>
                          <w:rFonts w:ascii="Book Antiqua" w:hAnsi="Book Antiqua"/>
                          <w:color w:val="002060"/>
                          <w:sz w:val="18"/>
                        </w:rPr>
                      </w:pPr>
                    </w:p>
                  </w:txbxContent>
                </v:textbox>
                <w10:wrap type="topAndBottom" anchory="page"/>
              </v:rect>
            </w:pict>
          </mc:Fallback>
        </mc:AlternateContent>
      </w:r>
      <w:r w:rsidR="003802D6" w:rsidRPr="003802D6">
        <w:rPr>
          <w:sz w:val="22"/>
          <w:szCs w:val="22"/>
        </w:rPr>
        <w:t>Ju</w:t>
      </w:r>
      <w:r w:rsidR="008C6E01">
        <w:rPr>
          <w:sz w:val="22"/>
          <w:szCs w:val="22"/>
        </w:rPr>
        <w:t>ly</w:t>
      </w:r>
      <w:r w:rsidR="003802D6" w:rsidRPr="003802D6">
        <w:rPr>
          <w:sz w:val="22"/>
          <w:szCs w:val="22"/>
        </w:rPr>
        <w:t xml:space="preserve"> </w:t>
      </w:r>
      <w:r w:rsidR="008C6E01">
        <w:rPr>
          <w:sz w:val="22"/>
          <w:szCs w:val="22"/>
        </w:rPr>
        <w:t>31</w:t>
      </w:r>
      <w:r w:rsidR="003802D6" w:rsidRPr="003802D6">
        <w:rPr>
          <w:sz w:val="22"/>
          <w:szCs w:val="22"/>
        </w:rPr>
        <w:t>, 2020</w:t>
      </w:r>
    </w:p>
    <w:p w14:paraId="1D2A070E" w14:textId="77777777" w:rsidR="003802D6" w:rsidRPr="003802D6" w:rsidRDefault="003802D6">
      <w:pPr>
        <w:tabs>
          <w:tab w:val="center" w:pos="3150"/>
        </w:tabs>
        <w:ind w:left="180"/>
        <w:rPr>
          <w:sz w:val="22"/>
          <w:szCs w:val="22"/>
        </w:rPr>
      </w:pPr>
    </w:p>
    <w:p w14:paraId="705D7561" w14:textId="77777777" w:rsidR="003802D6" w:rsidRPr="003802D6" w:rsidRDefault="003802D6">
      <w:pPr>
        <w:tabs>
          <w:tab w:val="center" w:pos="3150"/>
        </w:tabs>
        <w:ind w:left="180"/>
        <w:rPr>
          <w:color w:val="000080"/>
          <w:sz w:val="22"/>
          <w:szCs w:val="22"/>
        </w:rPr>
      </w:pPr>
    </w:p>
    <w:p w14:paraId="4C6D0D83" w14:textId="77777777" w:rsidR="008C6E01" w:rsidRDefault="008C6E01" w:rsidP="008C6E01">
      <w:pPr>
        <w:spacing w:before="94" w:line="235" w:lineRule="auto"/>
        <w:ind w:right="200"/>
        <w:jc w:val="center"/>
        <w:rPr>
          <w:b/>
        </w:rPr>
      </w:pPr>
      <w:r>
        <w:rPr>
          <w:b/>
        </w:rPr>
        <w:t>Record of Determination for an extension to a temporary closure of areas within Lincoln Park to protect park statuary and resources</w:t>
      </w:r>
    </w:p>
    <w:p w14:paraId="0EAC3D6C" w14:textId="77777777" w:rsidR="008C6E01" w:rsidRDefault="008C6E01" w:rsidP="008C6E01">
      <w:pPr>
        <w:pStyle w:val="BodyText"/>
        <w:spacing w:before="4"/>
        <w:rPr>
          <w:b/>
        </w:rPr>
      </w:pPr>
    </w:p>
    <w:p w14:paraId="00BD221E" w14:textId="77777777" w:rsidR="008C6E01" w:rsidRDefault="008C6E01" w:rsidP="008C6E01">
      <w:pPr>
        <w:pStyle w:val="Default"/>
      </w:pPr>
      <w:bookmarkStart w:id="0" w:name="_GoBack"/>
      <w:r>
        <w:t xml:space="preserve">Pursuant </w:t>
      </w:r>
      <w:r>
        <w:rPr>
          <w:spacing w:val="4"/>
        </w:rPr>
        <w:t xml:space="preserve">to </w:t>
      </w:r>
      <w:r>
        <w:t xml:space="preserve">36 C.F.R. § 1.5 </w:t>
      </w:r>
      <w:r>
        <w:rPr>
          <w:spacing w:val="-4"/>
        </w:rPr>
        <w:t xml:space="preserve">(a), </w:t>
      </w:r>
      <w:r>
        <w:rPr>
          <w:spacing w:val="2"/>
        </w:rPr>
        <w:t xml:space="preserve">the </w:t>
      </w:r>
      <w:r>
        <w:t xml:space="preserve">National Park </w:t>
      </w:r>
      <w:r>
        <w:rPr>
          <w:spacing w:val="-3"/>
        </w:rPr>
        <w:t xml:space="preserve">Service </w:t>
      </w:r>
      <w:r>
        <w:rPr>
          <w:spacing w:val="-4"/>
        </w:rPr>
        <w:t xml:space="preserve">is </w:t>
      </w:r>
      <w:r>
        <w:t>extending temporary closures of</w:t>
      </w:r>
      <w:r>
        <w:rPr>
          <w:spacing w:val="-3"/>
        </w:rPr>
        <w:t xml:space="preserve"> areas </w:t>
      </w:r>
      <w:r>
        <w:t xml:space="preserve">within Lincoln Park </w:t>
      </w:r>
      <w:r>
        <w:rPr>
          <w:spacing w:val="3"/>
        </w:rPr>
        <w:t xml:space="preserve">for </w:t>
      </w:r>
      <w:r>
        <w:t xml:space="preserve">protection of park </w:t>
      </w:r>
      <w:r>
        <w:rPr>
          <w:spacing w:val="-3"/>
        </w:rPr>
        <w:t xml:space="preserve">resources </w:t>
      </w:r>
      <w:r>
        <w:t xml:space="preserve">from vandalism. Specifically, </w:t>
      </w:r>
      <w:r>
        <w:rPr>
          <w:spacing w:val="2"/>
        </w:rPr>
        <w:t xml:space="preserve">the </w:t>
      </w:r>
      <w:r>
        <w:t xml:space="preserve">Emancipation Monument and </w:t>
      </w:r>
      <w:r>
        <w:rPr>
          <w:spacing w:val="-3"/>
        </w:rPr>
        <w:t xml:space="preserve">Mary </w:t>
      </w:r>
      <w:r>
        <w:t xml:space="preserve">McLeod Bethune </w:t>
      </w:r>
      <w:r>
        <w:rPr>
          <w:spacing w:val="-4"/>
        </w:rPr>
        <w:t xml:space="preserve">Memorial </w:t>
      </w:r>
      <w:r>
        <w:t>will remain enclosed</w:t>
      </w:r>
      <w:r>
        <w:rPr>
          <w:spacing w:val="-3"/>
        </w:rPr>
        <w:t xml:space="preserve"> </w:t>
      </w:r>
      <w:r>
        <w:t xml:space="preserve">with 8-foot-high, anti-scale fencing </w:t>
      </w:r>
      <w:r>
        <w:rPr>
          <w:spacing w:val="4"/>
        </w:rPr>
        <w:t xml:space="preserve">to </w:t>
      </w:r>
      <w:r>
        <w:rPr>
          <w:spacing w:val="-4"/>
        </w:rPr>
        <w:t xml:space="preserve">allow </w:t>
      </w:r>
      <w:r>
        <w:rPr>
          <w:spacing w:val="2"/>
        </w:rPr>
        <w:t xml:space="preserve">the </w:t>
      </w:r>
      <w:r>
        <w:t xml:space="preserve">statues </w:t>
      </w:r>
      <w:r>
        <w:rPr>
          <w:spacing w:val="4"/>
        </w:rPr>
        <w:t xml:space="preserve">to </w:t>
      </w:r>
      <w:r>
        <w:t xml:space="preserve">be protected. </w:t>
      </w:r>
      <w:r w:rsidRPr="00B036D2">
        <w:t xml:space="preserve">The Emancipation </w:t>
      </w:r>
      <w:r>
        <w:t>Monument</w:t>
      </w:r>
      <w:r w:rsidRPr="00B036D2">
        <w:t xml:space="preserve"> is still a very active demonstration</w:t>
      </w:r>
      <w:r>
        <w:t>, and much of that demonstration is centered on pulling down the monument</w:t>
      </w:r>
      <w:r w:rsidRPr="00B036D2">
        <w:t>.</w:t>
      </w:r>
      <w:r>
        <w:t xml:space="preserve"> U.S. Park Police has information that </w:t>
      </w:r>
      <w:r w:rsidRPr="00B036D2">
        <w:t>activists in Washington</w:t>
      </w:r>
      <w:r>
        <w:t>,</w:t>
      </w:r>
      <w:r w:rsidRPr="00B036D2">
        <w:t xml:space="preserve"> D</w:t>
      </w:r>
      <w:r>
        <w:t>.</w:t>
      </w:r>
      <w:r w:rsidRPr="00B036D2">
        <w:t>C</w:t>
      </w:r>
      <w:r>
        <w:t>.</w:t>
      </w:r>
      <w:r w:rsidRPr="00B036D2">
        <w:t xml:space="preserve"> are pursuing </w:t>
      </w:r>
      <w:r>
        <w:t>pulling down statues</w:t>
      </w:r>
      <w:r w:rsidRPr="00B036D2">
        <w:t>, and National Park Service property will not be exempt.</w:t>
      </w:r>
      <w:r>
        <w:t xml:space="preserve"> The Bethune Memorial, while not identified as a potential target, it is being protected from intentional or consequential damages. Consequently, this Record of Determination </w:t>
      </w:r>
      <w:r>
        <w:rPr>
          <w:spacing w:val="-3"/>
        </w:rPr>
        <w:t xml:space="preserve">may </w:t>
      </w:r>
      <w:r>
        <w:t xml:space="preserve">be extended </w:t>
      </w:r>
      <w:r>
        <w:rPr>
          <w:spacing w:val="-4"/>
        </w:rPr>
        <w:t xml:space="preserve">if </w:t>
      </w:r>
      <w:r>
        <w:rPr>
          <w:spacing w:val="-3"/>
        </w:rPr>
        <w:t xml:space="preserve">necessary, </w:t>
      </w:r>
      <w:r>
        <w:rPr>
          <w:spacing w:val="4"/>
        </w:rPr>
        <w:t xml:space="preserve">to </w:t>
      </w:r>
      <w:r>
        <w:t xml:space="preserve">complete </w:t>
      </w:r>
      <w:r>
        <w:rPr>
          <w:spacing w:val="-3"/>
        </w:rPr>
        <w:t xml:space="preserve">necessary </w:t>
      </w:r>
      <w:r>
        <w:t xml:space="preserve">assessment, and conservation of </w:t>
      </w:r>
      <w:r>
        <w:rPr>
          <w:spacing w:val="2"/>
        </w:rPr>
        <w:t xml:space="preserve">the </w:t>
      </w:r>
      <w:r>
        <w:rPr>
          <w:spacing w:val="-3"/>
        </w:rPr>
        <w:t xml:space="preserve">resources </w:t>
      </w:r>
      <w:r>
        <w:rPr>
          <w:spacing w:val="-4"/>
        </w:rPr>
        <w:t xml:space="preserve">in </w:t>
      </w:r>
      <w:r>
        <w:t>Lincoln</w:t>
      </w:r>
      <w:r>
        <w:rPr>
          <w:spacing w:val="-34"/>
        </w:rPr>
        <w:t xml:space="preserve"> </w:t>
      </w:r>
      <w:r>
        <w:t>Park.</w:t>
      </w:r>
    </w:p>
    <w:p w14:paraId="72D2901E" w14:textId="77777777" w:rsidR="008C6E01" w:rsidRDefault="008C6E01" w:rsidP="008C6E01">
      <w:pPr>
        <w:pStyle w:val="BodyText"/>
        <w:spacing w:before="3"/>
      </w:pPr>
    </w:p>
    <w:p w14:paraId="12EFCA16" w14:textId="3BF06AC9" w:rsidR="008C6E01" w:rsidRDefault="5DD290E9" w:rsidP="008C6E01">
      <w:pPr>
        <w:pStyle w:val="BodyText"/>
        <w:spacing w:before="1" w:line="242" w:lineRule="auto"/>
        <w:ind w:right="200"/>
      </w:pPr>
      <w:r>
        <w:t>The park closures will extend from 5:00 p.m. Friday, July 31, 2020</w:t>
      </w:r>
      <w:r w:rsidR="00C71C9E">
        <w:t>, and</w:t>
      </w:r>
      <w:r>
        <w:t xml:space="preserve"> </w:t>
      </w:r>
      <w:r w:rsidR="00C71C9E">
        <w:t>c</w:t>
      </w:r>
      <w:r>
        <w:t>ontinue through approximately 5:00 p.m. on Wednesday, September 16, 2020. This date may be modified depending on the National Park Service’s assessment of the likelihood of continued significant potential for further vandalism of the resources in this park. The closure of Lincoln Park will be identified by fencing and signage. Violation of this closure is prohibited.</w:t>
      </w:r>
    </w:p>
    <w:p w14:paraId="14285E53" w14:textId="77777777" w:rsidR="008C6E01" w:rsidRDefault="008C6E01" w:rsidP="008C6E01">
      <w:pPr>
        <w:pStyle w:val="BodyText"/>
        <w:spacing w:before="8"/>
        <w:rPr>
          <w:sz w:val="23"/>
        </w:rPr>
      </w:pPr>
    </w:p>
    <w:p w14:paraId="6BB74FB2" w14:textId="77777777" w:rsidR="008C6E01" w:rsidRDefault="008C6E01" w:rsidP="008C6E01">
      <w:pPr>
        <w:pStyle w:val="BodyText"/>
        <w:ind w:right="135"/>
      </w:pPr>
      <w:r>
        <w:rPr>
          <w:spacing w:val="-5"/>
        </w:rPr>
        <w:t xml:space="preserve">This </w:t>
      </w:r>
      <w:r>
        <w:t xml:space="preserve">temporary </w:t>
      </w:r>
      <w:r>
        <w:rPr>
          <w:spacing w:val="-3"/>
        </w:rPr>
        <w:t xml:space="preserve">closure </w:t>
      </w:r>
      <w:r>
        <w:rPr>
          <w:spacing w:val="-4"/>
        </w:rPr>
        <w:t xml:space="preserve">is </w:t>
      </w:r>
      <w:r>
        <w:rPr>
          <w:spacing w:val="-3"/>
        </w:rPr>
        <w:t xml:space="preserve">necessary </w:t>
      </w:r>
      <w:r>
        <w:rPr>
          <w:spacing w:val="3"/>
        </w:rPr>
        <w:t xml:space="preserve">for </w:t>
      </w:r>
      <w:r>
        <w:rPr>
          <w:spacing w:val="2"/>
        </w:rPr>
        <w:t xml:space="preserve">the </w:t>
      </w:r>
      <w:r>
        <w:t xml:space="preserve">protection of cultural resources </w:t>
      </w:r>
      <w:r>
        <w:rPr>
          <w:spacing w:val="-4"/>
        </w:rPr>
        <w:t xml:space="preserve">in </w:t>
      </w:r>
      <w:r>
        <w:t xml:space="preserve">Lincoln Park. Less restrictive </w:t>
      </w:r>
      <w:r>
        <w:rPr>
          <w:spacing w:val="-3"/>
        </w:rPr>
        <w:t xml:space="preserve">measures </w:t>
      </w:r>
      <w:r>
        <w:t xml:space="preserve">will not suffice because such </w:t>
      </w:r>
      <w:r>
        <w:rPr>
          <w:spacing w:val="-3"/>
        </w:rPr>
        <w:t xml:space="preserve">measures employed </w:t>
      </w:r>
      <w:r>
        <w:t xml:space="preserve">heretofore have proven inadequate </w:t>
      </w:r>
      <w:r>
        <w:rPr>
          <w:spacing w:val="4"/>
        </w:rPr>
        <w:t xml:space="preserve">to </w:t>
      </w:r>
      <w:r>
        <w:t xml:space="preserve">curtail </w:t>
      </w:r>
      <w:r>
        <w:rPr>
          <w:spacing w:val="-2"/>
        </w:rPr>
        <w:t xml:space="preserve">recent </w:t>
      </w:r>
      <w:r>
        <w:t xml:space="preserve">vandalism of these </w:t>
      </w:r>
      <w:r>
        <w:rPr>
          <w:spacing w:val="-3"/>
        </w:rPr>
        <w:t xml:space="preserve">resources </w:t>
      </w:r>
      <w:r>
        <w:t xml:space="preserve">on </w:t>
      </w:r>
      <w:r>
        <w:rPr>
          <w:spacing w:val="-3"/>
        </w:rPr>
        <w:t xml:space="preserve">several </w:t>
      </w:r>
      <w:r>
        <w:t xml:space="preserve">different occasions over </w:t>
      </w:r>
      <w:r>
        <w:rPr>
          <w:spacing w:val="2"/>
        </w:rPr>
        <w:t xml:space="preserve">the </w:t>
      </w:r>
      <w:r>
        <w:rPr>
          <w:spacing w:val="-4"/>
        </w:rPr>
        <w:t xml:space="preserve">last </w:t>
      </w:r>
      <w:r>
        <w:rPr>
          <w:spacing w:val="2"/>
        </w:rPr>
        <w:t xml:space="preserve">few </w:t>
      </w:r>
      <w:r>
        <w:t xml:space="preserve">weeks. </w:t>
      </w:r>
      <w:r>
        <w:rPr>
          <w:spacing w:val="-3"/>
        </w:rPr>
        <w:t xml:space="preserve">Moreover, </w:t>
      </w:r>
      <w:r>
        <w:rPr>
          <w:spacing w:val="2"/>
        </w:rPr>
        <w:t xml:space="preserve">the </w:t>
      </w:r>
      <w:r>
        <w:rPr>
          <w:spacing w:val="-3"/>
        </w:rPr>
        <w:t xml:space="preserve">closure </w:t>
      </w:r>
      <w:r>
        <w:rPr>
          <w:spacing w:val="-4"/>
        </w:rPr>
        <w:t xml:space="preserve">is </w:t>
      </w:r>
      <w:r>
        <w:t xml:space="preserve">not of a nature, magnitude and duration that will </w:t>
      </w:r>
      <w:r>
        <w:rPr>
          <w:spacing w:val="-4"/>
        </w:rPr>
        <w:t xml:space="preserve">result in </w:t>
      </w:r>
      <w:r>
        <w:t xml:space="preserve">a “significant alteration </w:t>
      </w:r>
      <w:r>
        <w:rPr>
          <w:spacing w:val="-4"/>
        </w:rPr>
        <w:t xml:space="preserve">in </w:t>
      </w:r>
      <w:r>
        <w:rPr>
          <w:spacing w:val="2"/>
        </w:rPr>
        <w:t xml:space="preserve">the </w:t>
      </w:r>
      <w:r>
        <w:rPr>
          <w:spacing w:val="-3"/>
        </w:rPr>
        <w:t xml:space="preserve">public </w:t>
      </w:r>
      <w:r>
        <w:t xml:space="preserve">use pattern” because of </w:t>
      </w:r>
      <w:r>
        <w:rPr>
          <w:spacing w:val="2"/>
        </w:rPr>
        <w:t xml:space="preserve">the </w:t>
      </w:r>
      <w:r>
        <w:t xml:space="preserve">expected short duration of </w:t>
      </w:r>
      <w:r>
        <w:rPr>
          <w:spacing w:val="2"/>
        </w:rPr>
        <w:t xml:space="preserve">the </w:t>
      </w:r>
      <w:r>
        <w:rPr>
          <w:spacing w:val="-3"/>
        </w:rPr>
        <w:t xml:space="preserve">closure </w:t>
      </w:r>
      <w:r>
        <w:t xml:space="preserve">period, and most of Lincoln Park will </w:t>
      </w:r>
      <w:r>
        <w:rPr>
          <w:spacing w:val="-4"/>
        </w:rPr>
        <w:t xml:space="preserve">remain </w:t>
      </w:r>
      <w:r>
        <w:t xml:space="preserve">open </w:t>
      </w:r>
      <w:r>
        <w:rPr>
          <w:spacing w:val="4"/>
        </w:rPr>
        <w:t xml:space="preserve">to </w:t>
      </w:r>
      <w:r>
        <w:rPr>
          <w:spacing w:val="2"/>
        </w:rPr>
        <w:t>the</w:t>
      </w:r>
      <w:r>
        <w:rPr>
          <w:spacing w:val="5"/>
        </w:rPr>
        <w:t xml:space="preserve"> </w:t>
      </w:r>
      <w:r>
        <w:t xml:space="preserve">public. The fence is limited to protecting the monuments described above. </w:t>
      </w:r>
    </w:p>
    <w:p w14:paraId="72794CAF" w14:textId="77777777" w:rsidR="008C6E01" w:rsidRDefault="008C6E01" w:rsidP="008C6E01">
      <w:pPr>
        <w:pStyle w:val="BodyText"/>
        <w:spacing w:before="1"/>
        <w:rPr>
          <w:sz w:val="23"/>
        </w:rPr>
      </w:pPr>
    </w:p>
    <w:p w14:paraId="327FBA81" w14:textId="77777777" w:rsidR="008C6E01" w:rsidRDefault="008C6E01" w:rsidP="008C6E01">
      <w:pPr>
        <w:pStyle w:val="BodyText"/>
        <w:spacing w:before="1"/>
      </w:pPr>
      <w:r>
        <w:t xml:space="preserve">The closure will not adversely affect the park’s natural, aesthetic or cultural values; nor require significant modification to the resource management objections; nor is it of a highly controversial nature. Accordingly, the National Park Service determines publication as rulemaking in the </w:t>
      </w:r>
      <w:r>
        <w:rPr>
          <w:u w:val="single"/>
        </w:rPr>
        <w:t>Federal Register</w:t>
      </w:r>
      <w:r>
        <w:t xml:space="preserve"> is unwarranted under 36 C.F.R. § 1.5(c). This is consistent with hundreds of earlier partial and temporary park closures or public use limitations, the legal opinion of the Office of the Solicitor, and judicial adjudications. </w:t>
      </w:r>
    </w:p>
    <w:p w14:paraId="6922B41D" w14:textId="7A546EF6" w:rsidR="008C6E01" w:rsidRDefault="008C6E01" w:rsidP="008C6E01">
      <w:pPr>
        <w:pStyle w:val="BodyText"/>
        <w:spacing w:before="1"/>
      </w:pPr>
    </w:p>
    <w:p w14:paraId="7364A0C9" w14:textId="77777777" w:rsidR="008C6E01" w:rsidRDefault="008C6E01" w:rsidP="008C6E01">
      <w:pPr>
        <w:pStyle w:val="BodyText"/>
        <w:spacing w:before="1"/>
      </w:pPr>
    </w:p>
    <w:p w14:paraId="24AEFD21" w14:textId="52E543F2" w:rsidR="008C6E01" w:rsidRDefault="008C6E01" w:rsidP="00517AA6">
      <w:pPr>
        <w:pStyle w:val="BodyText"/>
        <w:spacing w:before="67" w:line="235" w:lineRule="auto"/>
        <w:ind w:left="241" w:right="286"/>
        <w:jc w:val="both"/>
      </w:pPr>
      <w:r>
        <w:rPr>
          <w:u w:val="single"/>
        </w:rPr>
        <w:t>Mahoney v. Norton</w:t>
      </w:r>
      <w:r>
        <w:t>, No. 02- 1715 (D.D.C. August 29, 2002),</w:t>
      </w:r>
      <w:r>
        <w:rPr>
          <w:u w:val="single"/>
        </w:rPr>
        <w:t xml:space="preserve"> plaintiff’s emergency motion for injunction pending appeal denied Mahoney v. Norton</w:t>
      </w:r>
      <w:r>
        <w:t xml:space="preserve">, No. 02-5275 (D.C. Cir. September 9, 2002) (per </w:t>
      </w:r>
      <w:proofErr w:type="spellStart"/>
      <w:r>
        <w:t>curiam</w:t>
      </w:r>
      <w:proofErr w:type="spellEnd"/>
      <w:r>
        <w:t xml:space="preserve">); </w:t>
      </w:r>
      <w:proofErr w:type="spellStart"/>
      <w:r>
        <w:rPr>
          <w:u w:val="single"/>
        </w:rPr>
        <w:t>Picciotto</w:t>
      </w:r>
      <w:proofErr w:type="spellEnd"/>
      <w:r>
        <w:rPr>
          <w:u w:val="single"/>
        </w:rPr>
        <w:t xml:space="preserve"> </w:t>
      </w:r>
      <w:proofErr w:type="spellStart"/>
      <w:r>
        <w:rPr>
          <w:u w:val="single"/>
        </w:rPr>
        <w:t>v.United</w:t>
      </w:r>
      <w:proofErr w:type="spellEnd"/>
      <w:r>
        <w:rPr>
          <w:u w:val="single"/>
        </w:rPr>
        <w:t xml:space="preserve"> States</w:t>
      </w:r>
      <w:r>
        <w:t xml:space="preserve">, No. 99-2113 (D.D.C. August 6, 1999); </w:t>
      </w:r>
      <w:proofErr w:type="spellStart"/>
      <w:r>
        <w:rPr>
          <w:u w:val="single"/>
        </w:rPr>
        <w:t>Picciotto</w:t>
      </w:r>
      <w:proofErr w:type="spellEnd"/>
      <w:r>
        <w:rPr>
          <w:u w:val="single"/>
        </w:rPr>
        <w:t xml:space="preserve"> v. United States</w:t>
      </w:r>
      <w:r>
        <w:t xml:space="preserve">, No. 94-1935 (D.D.C. September 9, 1994); </w:t>
      </w:r>
      <w:proofErr w:type="spellStart"/>
      <w:r>
        <w:rPr>
          <w:u w:val="single"/>
        </w:rPr>
        <w:t>Picciotto</w:t>
      </w:r>
      <w:proofErr w:type="spellEnd"/>
      <w:r>
        <w:rPr>
          <w:u w:val="single"/>
        </w:rPr>
        <w:t xml:space="preserve"> v. Lujan</w:t>
      </w:r>
      <w:r>
        <w:t xml:space="preserve">, No. 90-1261 (D.D.C. May 30, 1990); </w:t>
      </w:r>
      <w:proofErr w:type="spellStart"/>
      <w:r>
        <w:rPr>
          <w:u w:val="single"/>
        </w:rPr>
        <w:t>Picciotto</w:t>
      </w:r>
      <w:proofErr w:type="spellEnd"/>
      <w:r w:rsidR="00517AA6">
        <w:rPr>
          <w:u w:val="single"/>
        </w:rPr>
        <w:t xml:space="preserve"> </w:t>
      </w:r>
      <w:r>
        <w:rPr>
          <w:u w:val="single"/>
        </w:rPr>
        <w:t>v. Hodel</w:t>
      </w:r>
      <w:r>
        <w:t xml:space="preserve">, No. 87-3290 (D.D.C. January 26, 1988); </w:t>
      </w:r>
      <w:r>
        <w:rPr>
          <w:u w:val="single"/>
        </w:rPr>
        <w:t>Spiegel v. Babbitt</w:t>
      </w:r>
      <w:r>
        <w:t xml:space="preserve">, 855 </w:t>
      </w:r>
      <w:proofErr w:type="spellStart"/>
      <w:r>
        <w:t>F.Supp</w:t>
      </w:r>
      <w:proofErr w:type="spellEnd"/>
      <w:r>
        <w:t xml:space="preserve">. 402 (D.D.C. 1994), </w:t>
      </w:r>
      <w:r>
        <w:rPr>
          <w:u w:val="single"/>
        </w:rPr>
        <w:t>aff'd in part w/o op.</w:t>
      </w:r>
      <w:r>
        <w:t xml:space="preserve"> 56 F.3d 1531 (D.C. Cir. 1995), </w:t>
      </w:r>
      <w:r>
        <w:rPr>
          <w:u w:val="single"/>
        </w:rPr>
        <w:t>reported in full</w:t>
      </w:r>
      <w:r>
        <w:t>, 1995 US App. Lexis 15200 (D.C. Cir. May 31, 1995).</w:t>
      </w:r>
    </w:p>
    <w:p w14:paraId="6831979A" w14:textId="77777777" w:rsidR="008C6E01" w:rsidRDefault="008C6E01" w:rsidP="008C6E01">
      <w:pPr>
        <w:pStyle w:val="BodyText"/>
        <w:spacing w:before="6"/>
        <w:rPr>
          <w:sz w:val="22"/>
        </w:rPr>
      </w:pPr>
    </w:p>
    <w:p w14:paraId="6642B9F7" w14:textId="1CDEB53E" w:rsidR="008C6E01" w:rsidRDefault="008C6E01" w:rsidP="00517AA6">
      <w:pPr>
        <w:pStyle w:val="BodyText"/>
        <w:spacing w:before="1" w:line="247" w:lineRule="auto"/>
        <w:ind w:left="241" w:right="480"/>
      </w:pPr>
      <w:r>
        <w:t>Pursuant to 36 C.F.R. § 1.7, notice of this temporary and partial closure will be made through media advisories, maps, and by posting at conspicuous locations in the affected park areas.</w:t>
      </w:r>
      <w:r w:rsidR="00517AA6">
        <w:t xml:space="preserve"> </w:t>
      </w:r>
      <w:r>
        <w:t>Finally, pursuant to 36 C.F.R. § 1.5(c), this determination is available to the public upon request.</w:t>
      </w:r>
    </w:p>
    <w:bookmarkEnd w:id="0"/>
    <w:p w14:paraId="28E534AA" w14:textId="77777777" w:rsidR="008C6E01" w:rsidRDefault="008C6E01" w:rsidP="008C6E01">
      <w:pPr>
        <w:pStyle w:val="BodyText"/>
        <w:rPr>
          <w:sz w:val="20"/>
        </w:rPr>
      </w:pPr>
    </w:p>
    <w:p w14:paraId="7C2221DD" w14:textId="77777777" w:rsidR="008C6E01" w:rsidRDefault="008C6E01" w:rsidP="008C6E01">
      <w:pPr>
        <w:pStyle w:val="BodyText"/>
        <w:rPr>
          <w:sz w:val="20"/>
        </w:rPr>
      </w:pPr>
    </w:p>
    <w:p w14:paraId="447A1FC2" w14:textId="77777777" w:rsidR="008C6E01" w:rsidRDefault="008C6E01" w:rsidP="008C6E01">
      <w:pPr>
        <w:pStyle w:val="BodyText"/>
        <w:rPr>
          <w:sz w:val="20"/>
        </w:rPr>
      </w:pPr>
    </w:p>
    <w:p w14:paraId="1C2134B7" w14:textId="77777777" w:rsidR="008C6E01" w:rsidRDefault="008C6E01" w:rsidP="008C6E01">
      <w:pPr>
        <w:pStyle w:val="BodyText"/>
        <w:rPr>
          <w:sz w:val="20"/>
        </w:rPr>
      </w:pPr>
    </w:p>
    <w:p w14:paraId="40EFFEC9" w14:textId="77777777" w:rsidR="008C6E01" w:rsidRDefault="008C6E01" w:rsidP="008C6E01">
      <w:pPr>
        <w:pStyle w:val="BodyText"/>
        <w:rPr>
          <w:sz w:val="20"/>
        </w:rPr>
      </w:pPr>
    </w:p>
    <w:p w14:paraId="520E4899" w14:textId="77777777" w:rsidR="008C6E01" w:rsidRDefault="008C6E01" w:rsidP="008C6E01">
      <w:pPr>
        <w:pStyle w:val="BodyText"/>
        <w:rPr>
          <w:sz w:val="20"/>
        </w:rPr>
      </w:pPr>
    </w:p>
    <w:p w14:paraId="0903FEC9" w14:textId="77777777" w:rsidR="008C6E01" w:rsidRDefault="008C6E01" w:rsidP="008C6E01">
      <w:pPr>
        <w:pStyle w:val="BodyText"/>
        <w:spacing w:before="7"/>
        <w:rPr>
          <w:sz w:val="16"/>
        </w:rPr>
      </w:pPr>
    </w:p>
    <w:p w14:paraId="79521964" w14:textId="4CC13703" w:rsidR="008C6E01" w:rsidRDefault="008C6E01" w:rsidP="008C6E01">
      <w:pPr>
        <w:pStyle w:val="BodyText"/>
        <w:tabs>
          <w:tab w:val="left" w:pos="9369"/>
        </w:tabs>
        <w:spacing w:before="90" w:line="273" w:lineRule="exact"/>
        <w:ind w:left="5289"/>
      </w:pPr>
      <w:r>
        <w:rPr>
          <w:noProof/>
        </w:rPr>
        <mc:AlternateContent>
          <mc:Choice Requires="wps">
            <w:drawing>
              <wp:anchor distT="0" distB="0" distL="114300" distR="114300" simplePos="0" relativeHeight="251662336" behindDoc="1" locked="0" layoutInCell="1" allowOverlap="1" wp14:anchorId="6FBECF5F" wp14:editId="15D4FB40">
                <wp:simplePos x="0" y="0"/>
                <wp:positionH relativeFrom="page">
                  <wp:posOffset>915670</wp:posOffset>
                </wp:positionH>
                <wp:positionV relativeFrom="paragraph">
                  <wp:posOffset>63500</wp:posOffset>
                </wp:positionV>
                <wp:extent cx="1676400" cy="168910"/>
                <wp:effectExtent l="1270" t="1270" r="0" b="127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D3D56" w14:textId="77777777" w:rsidR="008C6E01" w:rsidRDefault="008C6E01" w:rsidP="008C6E01">
                            <w:pPr>
                              <w:pStyle w:val="BodyText"/>
                              <w:spacing w:line="266" w:lineRule="exact"/>
                            </w:pPr>
                            <w:r>
                              <w:t>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ECF5F" id="_x0000_t202" coordsize="21600,21600" o:spt="202" path="m,l,21600r21600,l21600,xe">
                <v:stroke joinstyle="miter"/>
                <v:path gradientshapeok="t" o:connecttype="rect"/>
              </v:shapetype>
              <v:shape id="Text Box 6" o:spid="_x0000_s1028" type="#_x0000_t202" style="position:absolute;left:0;text-align:left;margin-left:72.1pt;margin-top:5pt;width:132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Pu6wEAAL0DAAAOAAAAZHJzL2Uyb0RvYy54bWysU9tu2zAMfR+wfxD0vtgJBq8z4hRdiw4D&#10;ugvQ7gNoWY6F2aJGKbGzrx8lx1m3vQ17ESiSOjw8pLbX09CLoyZv0FZyvcql0FZhY+y+kl+f7l9d&#10;SeED2AZ6tLqSJ+3l9e7li+3oSr3BDvtGk2AQ68vRVbILwZVZ5lWnB/ArdNpysEUaIPCV9llDMDL6&#10;0GebPC+yEalxhEp7z967OSh3Cb9ttQqf29brIPpKMreQTkpnHc9st4VyT+A6o8404B9YDGAsF71A&#10;3UEAcSDzF9RgFKHHNqwUDhm2rVE69cDdrPM/unnswOnUC4vj3UUm//9g1afjFxKmqWQhhYWBR/Sk&#10;pyDe4SSKqM7ofMlJj47TwsRunnLq1LsHVN+8sHjbgd3rGyIcOw0Ns1vHl9mzpzOOjyD1+BEbLgOH&#10;gAloammI0rEYgtF5SqfLZCIVFUsWb4rXOYcUx9bF1dt1Gl0G5fLakQ/vNQ4iGpUknnxCh+ODD5EN&#10;lEtKLGbx3vR9mn5vf3NwYvQk9pHwTD1M9ZRk2iyi1NicuB3Ceaf4D7DRIf2QYuR9qqT/fgDSUvQf&#10;LEsSl28xaDHqxQCr+GklgxSzeRvmJT04MvuOkWfRLd6wbK1JHUV9ZxZnurwjqdHzPsclfH5PWb9+&#10;3e4nAAAA//8DAFBLAwQUAAYACAAAACEABhoxDN0AAAAJAQAADwAAAGRycy9kb3ducmV2LnhtbEyP&#10;QU/DMAyF70j8h8hI3FjCqKpRmk4TghMSWlcOHNPWa6M1Tmmyrfz7mRO7+dlPz9/L17MbxAmnYD1p&#10;eFwoEEiNby11Gr6q94cViBANtWbwhBp+McC6uL3JTdb6M5V42sVOcAiFzGjoYxwzKUPTozNh4Uck&#10;vu395ExkOXWyncyZw90gl0ql0hlL/KE3I7722Bx2R6dh803lm/35rLflvrRV9azoIz1ofX83b15A&#10;RJzjvxn+8BkdCmaq/ZHaIAbWSbJkKw+KO7EhUSte1Bqe0hRkkcvrBsUFAAD//wMAUEsBAi0AFAAG&#10;AAgAAAAhALaDOJL+AAAA4QEAABMAAAAAAAAAAAAAAAAAAAAAAFtDb250ZW50X1R5cGVzXS54bWxQ&#10;SwECLQAUAAYACAAAACEAOP0h/9YAAACUAQAACwAAAAAAAAAAAAAAAAAvAQAAX3JlbHMvLnJlbHNQ&#10;SwECLQAUAAYACAAAACEA3c6j7usBAAC9AwAADgAAAAAAAAAAAAAAAAAuAgAAZHJzL2Uyb0RvYy54&#10;bWxQSwECLQAUAAYACAAAACEABhoxDN0AAAAJAQAADwAAAAAAAAAAAAAAAABFBAAAZHJzL2Rvd25y&#10;ZXYueG1sUEsFBgAAAAAEAAQA8wAAAE8FAAAAAA==&#10;" filled="f" stroked="f">
                <v:textbox inset="0,0,0,0">
                  <w:txbxContent>
                    <w:p w14:paraId="237D3D56" w14:textId="77777777" w:rsidR="008C6E01" w:rsidRDefault="008C6E01" w:rsidP="008C6E01">
                      <w:pPr>
                        <w:pStyle w:val="BodyText"/>
                        <w:spacing w:line="266" w:lineRule="exact"/>
                      </w:pPr>
                      <w:r>
                        <w:t>______________________</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6A6B908B" wp14:editId="4A73AD0A">
                <wp:simplePos x="0" y="0"/>
                <wp:positionH relativeFrom="page">
                  <wp:posOffset>2592070</wp:posOffset>
                </wp:positionH>
                <wp:positionV relativeFrom="paragraph">
                  <wp:posOffset>229235</wp:posOffset>
                </wp:positionV>
                <wp:extent cx="838200" cy="0"/>
                <wp:effectExtent l="10795" t="5080" r="8255" b="1397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123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1pt,18.05pt" to="270.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VT0gEAAI8DAAAOAAAAZHJzL2Uyb0RvYy54bWysU01v2zAMvQ/YfxB0X5x0RZAZcXpI1l26&#10;LUC7H8BIsi1MFgVKiZN/P0r5aLfdhvkgSPx4fHyklw/HwYmDoWjRN3I2mUphvEJtfdfIHy+PHxZS&#10;xAReg0NvGnkyUT6s3r9bjqE2d9ij04YEg/hYj6GRfUqhrqqoejNAnGAwnp0t0gCJn9RVmmBk9MFV&#10;d9PpvBqRdCBUJka2bs5OuSr4bWtU+t620SThGsncUjmpnLt8Vqsl1B1B6K260IB/YDGA9Vz0BrWB&#10;BGJP9i+owSrCiG2aKBwqbFurTOmBu5lN/+jmuYdgSi8sTgw3meL/g1XfDlsSVjfyXgoPA4/oORHY&#10;rk9ijd6zgEjiPus0hlhz+NpvKXeqjv45PKH6GYXHdQ++M4XvyykwyCxnVL+l5EcMXG03fkXNMbBP&#10;WEQ7tjRkSJZDHMtsTrfZmGMSio2LjwuetxTq6qqgvuYFiumLwUHkSyOd9Vk1qOHwFFPmAfU1JJs9&#10;PlrnyuSdF2Mj59NP85IQ0VmdnTksUrdbOxIHyLtTvtIUe96GZeQNxP4cV1znrSLce12q9Ab058s9&#10;gXXnO7Ny/iJS1uWs8A71aUtX8Xjqhf5lQ/NavX2X7Nf/aPULAAD//wMAUEsDBBQABgAIAAAAIQCU&#10;qHmK3wAAAAkBAAAPAAAAZHJzL2Rvd25yZXYueG1sTI9NT8MwDIbvSPyHyEjcWLIxtlCaTggE0g4I&#10;7UOcs9a0pY1TNdna/XuMOMDRrx+9fpyuRteKE/ah9mRgOlEgkHJf1FQa2O9ebjSIEC0VtvWEBs4Y&#10;YJVdXqQ2KfxAGzxtYym4hEJiDVQxdomUIa/Q2TDxHRLvPn3vbOSxL2XR24HLXStnSi2kszXxhcp2&#10;+FRh3myPzsCbls/+vfnIz1/D7lXrdXO/XO+Nub4aHx9ARBzjHww/+qwOGTsd/JGKIFoDc6VnjBq4&#10;XUxBMHA3VxwcfgOZpfL/B9k3AAAA//8DAFBLAQItABQABgAIAAAAIQC2gziS/gAAAOEBAAATAAAA&#10;AAAAAAAAAAAAAAAAAABbQ29udGVudF9UeXBlc10ueG1sUEsBAi0AFAAGAAgAAAAhADj9If/WAAAA&#10;lAEAAAsAAAAAAAAAAAAAAAAALwEAAF9yZWxzLy5yZWxzUEsBAi0AFAAGAAgAAAAhAA5yJVPSAQAA&#10;jwMAAA4AAAAAAAAAAAAAAAAALgIAAGRycy9lMm9Eb2MueG1sUEsBAi0AFAAGAAgAAAAhAJSoeYrf&#10;AAAACQEAAA8AAAAAAAAAAAAAAAAALAQAAGRycy9kb3ducmV2LnhtbFBLBQYAAAAABAAEAPMAAAA4&#10;BQAAAAA=&#10;" strokeweight=".48pt">
                <w10:wrap anchorx="page"/>
              </v:line>
            </w:pict>
          </mc:Fallback>
        </mc:AlternateContent>
      </w:r>
      <w:r>
        <w:rPr>
          <w:noProof/>
        </w:rPr>
        <w:drawing>
          <wp:anchor distT="0" distB="0" distL="0" distR="0" simplePos="0" relativeHeight="251665408" behindDoc="0" locked="0" layoutInCell="1" allowOverlap="1" wp14:anchorId="0D85CA1F" wp14:editId="4E70E346">
            <wp:simplePos x="0" y="0"/>
            <wp:positionH relativeFrom="page">
              <wp:posOffset>914400</wp:posOffset>
            </wp:positionH>
            <wp:positionV relativeFrom="paragraph">
              <wp:posOffset>-515326</wp:posOffset>
            </wp:positionV>
            <wp:extent cx="1701164" cy="682625"/>
            <wp:effectExtent l="0" t="0" r="0" b="0"/>
            <wp:wrapNone/>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701164" cy="682625"/>
                    </a:xfrm>
                    <a:prstGeom prst="rect">
                      <a:avLst/>
                    </a:prstGeom>
                  </pic:spPr>
                </pic:pic>
              </a:graphicData>
            </a:graphic>
          </wp:anchor>
        </w:drawing>
      </w:r>
      <w:r>
        <w:rPr>
          <w:u w:val="single"/>
        </w:rPr>
        <w:t>7/31/2020</w:t>
      </w:r>
      <w:r w:rsidR="00517AA6">
        <w:rPr>
          <w:u w:val="single"/>
        </w:rPr>
        <w:t>____________</w:t>
      </w:r>
    </w:p>
    <w:p w14:paraId="5DA51041" w14:textId="26DBD4CE" w:rsidR="008C6E01" w:rsidRDefault="008C6E01" w:rsidP="008C6E01">
      <w:pPr>
        <w:pStyle w:val="BodyText"/>
        <w:tabs>
          <w:tab w:val="left" w:pos="6008"/>
        </w:tabs>
        <w:spacing w:line="273" w:lineRule="exact"/>
      </w:pPr>
      <w:r>
        <w:rPr>
          <w:spacing w:val="-5"/>
        </w:rPr>
        <w:t xml:space="preserve">Tara, </w:t>
      </w:r>
      <w:r>
        <w:rPr>
          <w:spacing w:val="3"/>
        </w:rPr>
        <w:t>D.</w:t>
      </w:r>
      <w:r>
        <w:rPr>
          <w:spacing w:val="-31"/>
        </w:rPr>
        <w:t xml:space="preserve"> </w:t>
      </w:r>
      <w:r>
        <w:rPr>
          <w:spacing w:val="-3"/>
        </w:rPr>
        <w:t>Morrison,</w:t>
      </w:r>
      <w:r>
        <w:rPr>
          <w:spacing w:val="15"/>
        </w:rPr>
        <w:t xml:space="preserve"> </w:t>
      </w:r>
      <w:r>
        <w:t>Superintendent</w:t>
      </w:r>
      <w:r>
        <w:tab/>
      </w:r>
      <w:r>
        <w:rPr>
          <w:spacing w:val="3"/>
        </w:rPr>
        <w:t>Date</w:t>
      </w:r>
    </w:p>
    <w:p w14:paraId="206D826E" w14:textId="77777777" w:rsidR="003802D6" w:rsidRPr="003802D6" w:rsidRDefault="003802D6">
      <w:pPr>
        <w:tabs>
          <w:tab w:val="center" w:pos="3150"/>
        </w:tabs>
        <w:ind w:left="180"/>
        <w:rPr>
          <w:color w:val="000080"/>
          <w:sz w:val="22"/>
          <w:szCs w:val="22"/>
        </w:rPr>
      </w:pPr>
    </w:p>
    <w:sectPr w:rsidR="003802D6" w:rsidRPr="003802D6" w:rsidSect="004B1655">
      <w:footerReference w:type="even" r:id="rId10"/>
      <w:footerReference w:type="default" r:id="rId11"/>
      <w:footerReference w:type="first" r:id="rId12"/>
      <w:pgSz w:w="12240" w:h="15840" w:code="1"/>
      <w:pgMar w:top="1440" w:right="1440" w:bottom="1440" w:left="1440" w:header="720" w:footer="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8FF824" w16cex:dateUtc="2020-07-31T10:21:27.738Z"/>
  <w16cex:commentExtensible w16cex:durableId="3C62DBA9" w16cex:dateUtc="2020-07-31T10:21:58.2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0DB0E" w14:textId="77777777" w:rsidR="008B26E1" w:rsidRDefault="008B26E1">
      <w:r>
        <w:separator/>
      </w:r>
    </w:p>
  </w:endnote>
  <w:endnote w:type="continuationSeparator" w:id="0">
    <w:p w14:paraId="6CB4D77F" w14:textId="77777777" w:rsidR="008B26E1" w:rsidRDefault="008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7042"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C5398" w14:textId="77777777" w:rsidR="00AE6AA3" w:rsidRDefault="00AE6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4D3C" w14:textId="77777777" w:rsidR="00AE6AA3" w:rsidRDefault="00AE6AA3" w:rsidP="001B5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2C3">
      <w:rPr>
        <w:rStyle w:val="PageNumber"/>
        <w:noProof/>
      </w:rPr>
      <w:t>2</w:t>
    </w:r>
    <w:r>
      <w:rPr>
        <w:rStyle w:val="PageNumber"/>
      </w:rPr>
      <w:fldChar w:fldCharType="end"/>
    </w:r>
  </w:p>
  <w:p w14:paraId="4F4401B7" w14:textId="77777777" w:rsidR="00AE6AA3" w:rsidRDefault="00AE6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61FB" w14:textId="77777777" w:rsidR="0014147C" w:rsidRDefault="0014147C">
    <w:pPr>
      <w:pStyle w:val="Footer"/>
    </w:pPr>
    <w:r>
      <w:rPr>
        <w:noProof/>
      </w:rPr>
      <w:drawing>
        <wp:inline distT="0" distB="0" distL="0" distR="0" wp14:anchorId="381B1446" wp14:editId="05AC9F9B">
          <wp:extent cx="5943600" cy="699135"/>
          <wp:effectExtent l="0" t="0" r="0" b="5715"/>
          <wp:docPr id="3" name="Picture 3" descr="Interior Region 1 - North Atlantic-Appalach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IOR REGIONS Letterhead  Footer REGION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F6C2" w14:textId="77777777" w:rsidR="008B26E1" w:rsidRDefault="008B26E1">
      <w:r>
        <w:separator/>
      </w:r>
    </w:p>
  </w:footnote>
  <w:footnote w:type="continuationSeparator" w:id="0">
    <w:p w14:paraId="2085132A" w14:textId="77777777" w:rsidR="008B26E1" w:rsidRDefault="008B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2FD"/>
    <w:multiLevelType w:val="hybridMultilevel"/>
    <w:tmpl w:val="9066FFC6"/>
    <w:lvl w:ilvl="0" w:tplc="DDE89690">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85176"/>
    <w:multiLevelType w:val="hybridMultilevel"/>
    <w:tmpl w:val="B36A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518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1554F6"/>
    <w:multiLevelType w:val="hybridMultilevel"/>
    <w:tmpl w:val="60FA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199"/>
    <w:multiLevelType w:val="hybridMultilevel"/>
    <w:tmpl w:val="9EAE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B5106"/>
    <w:multiLevelType w:val="hybridMultilevel"/>
    <w:tmpl w:val="E7B49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D5B18"/>
    <w:multiLevelType w:val="hybridMultilevel"/>
    <w:tmpl w:val="E8C67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4F3FB8"/>
    <w:multiLevelType w:val="hybridMultilevel"/>
    <w:tmpl w:val="8432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B46B5"/>
    <w:multiLevelType w:val="hybridMultilevel"/>
    <w:tmpl w:val="90EEA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A28E5"/>
    <w:multiLevelType w:val="hybridMultilevel"/>
    <w:tmpl w:val="1148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E1A83"/>
    <w:multiLevelType w:val="hybridMultilevel"/>
    <w:tmpl w:val="B706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81127"/>
    <w:multiLevelType w:val="hybridMultilevel"/>
    <w:tmpl w:val="943C4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96EB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AE87144"/>
    <w:multiLevelType w:val="hybridMultilevel"/>
    <w:tmpl w:val="1F067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B825CA"/>
    <w:multiLevelType w:val="hybridMultilevel"/>
    <w:tmpl w:val="D8CC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E30445"/>
    <w:multiLevelType w:val="hybridMultilevel"/>
    <w:tmpl w:val="9B8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B38EA"/>
    <w:multiLevelType w:val="hybridMultilevel"/>
    <w:tmpl w:val="C218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3C1A4D"/>
    <w:multiLevelType w:val="hybridMultilevel"/>
    <w:tmpl w:val="33523374"/>
    <w:lvl w:ilvl="0" w:tplc="0409000F">
      <w:start w:val="1"/>
      <w:numFmt w:val="decimal"/>
      <w:lvlText w:val="%1."/>
      <w:lvlJc w:val="left"/>
      <w:pPr>
        <w:tabs>
          <w:tab w:val="num" w:pos="1080"/>
        </w:tabs>
        <w:ind w:left="1080" w:hanging="360"/>
      </w:pPr>
      <w:rPr>
        <w:rFonts w:hint="default"/>
        <w:color w:val="auto"/>
        <w:sz w:val="22"/>
      </w:rPr>
    </w:lvl>
    <w:lvl w:ilvl="1" w:tplc="DDE89690">
      <w:start w:val="1"/>
      <w:numFmt w:val="bullet"/>
      <w:lvlText w:val=""/>
      <w:lvlJc w:val="left"/>
      <w:pPr>
        <w:tabs>
          <w:tab w:val="num" w:pos="1800"/>
        </w:tabs>
        <w:ind w:left="1800" w:hanging="360"/>
      </w:pPr>
      <w:rPr>
        <w:rFonts w:ascii="Symbol" w:hAnsi="Symbol"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E7366FF"/>
    <w:multiLevelType w:val="multilevel"/>
    <w:tmpl w:val="42228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2"/>
  </w:num>
  <w:num w:numId="3">
    <w:abstractNumId w:val="5"/>
  </w:num>
  <w:num w:numId="4">
    <w:abstractNumId w:val="1"/>
  </w:num>
  <w:num w:numId="5">
    <w:abstractNumId w:val="8"/>
  </w:num>
  <w:num w:numId="6">
    <w:abstractNumId w:val="9"/>
  </w:num>
  <w:num w:numId="7">
    <w:abstractNumId w:val="13"/>
  </w:num>
  <w:num w:numId="8">
    <w:abstractNumId w:val="15"/>
  </w:num>
  <w:num w:numId="9">
    <w:abstractNumId w:val="11"/>
  </w:num>
  <w:num w:numId="10">
    <w:abstractNumId w:val="16"/>
  </w:num>
  <w:num w:numId="11">
    <w:abstractNumId w:val="4"/>
  </w:num>
  <w:num w:numId="12">
    <w:abstractNumId w:val="7"/>
  </w:num>
  <w:num w:numId="13">
    <w:abstractNumId w:val="3"/>
  </w:num>
  <w:num w:numId="14">
    <w:abstractNumId w:val="0"/>
  </w:num>
  <w:num w:numId="15">
    <w:abstractNumId w:val="17"/>
  </w:num>
  <w:num w:numId="16">
    <w:abstractNumId w:val="6"/>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sDA1NjMwNDQzNrBU0lEKTi0uzszPAykwrAUASKqsOCwAAAA="/>
  </w:docVars>
  <w:rsids>
    <w:rsidRoot w:val="009E134A"/>
    <w:rsid w:val="000120F6"/>
    <w:rsid w:val="000169E8"/>
    <w:rsid w:val="00035FB7"/>
    <w:rsid w:val="00092305"/>
    <w:rsid w:val="000B27C4"/>
    <w:rsid w:val="000E20AB"/>
    <w:rsid w:val="000E5FBA"/>
    <w:rsid w:val="000F2A50"/>
    <w:rsid w:val="000F5C80"/>
    <w:rsid w:val="001059C2"/>
    <w:rsid w:val="00115C94"/>
    <w:rsid w:val="00134C06"/>
    <w:rsid w:val="0014147C"/>
    <w:rsid w:val="001A2947"/>
    <w:rsid w:val="001B5A9D"/>
    <w:rsid w:val="001D43DE"/>
    <w:rsid w:val="001E59A6"/>
    <w:rsid w:val="001F3DAF"/>
    <w:rsid w:val="0025030A"/>
    <w:rsid w:val="002B2171"/>
    <w:rsid w:val="002C0D60"/>
    <w:rsid w:val="002C739F"/>
    <w:rsid w:val="002D7C02"/>
    <w:rsid w:val="002F1202"/>
    <w:rsid w:val="003152C1"/>
    <w:rsid w:val="00321698"/>
    <w:rsid w:val="00324B2F"/>
    <w:rsid w:val="00342A59"/>
    <w:rsid w:val="003714EE"/>
    <w:rsid w:val="003802D6"/>
    <w:rsid w:val="003B2AC7"/>
    <w:rsid w:val="0044099A"/>
    <w:rsid w:val="00446271"/>
    <w:rsid w:val="004821E5"/>
    <w:rsid w:val="00485C30"/>
    <w:rsid w:val="004A5CE5"/>
    <w:rsid w:val="004B1655"/>
    <w:rsid w:val="004C42A3"/>
    <w:rsid w:val="004C6EE3"/>
    <w:rsid w:val="004D072B"/>
    <w:rsid w:val="004E7F22"/>
    <w:rsid w:val="00500C1F"/>
    <w:rsid w:val="00507019"/>
    <w:rsid w:val="00517AA6"/>
    <w:rsid w:val="00547958"/>
    <w:rsid w:val="0056439E"/>
    <w:rsid w:val="00580041"/>
    <w:rsid w:val="00596B5E"/>
    <w:rsid w:val="005A2C36"/>
    <w:rsid w:val="005A749D"/>
    <w:rsid w:val="005B2CCF"/>
    <w:rsid w:val="005C42A9"/>
    <w:rsid w:val="005C50A7"/>
    <w:rsid w:val="005D0A6A"/>
    <w:rsid w:val="005F75B4"/>
    <w:rsid w:val="006302F2"/>
    <w:rsid w:val="00640FB2"/>
    <w:rsid w:val="006774A3"/>
    <w:rsid w:val="00690AC9"/>
    <w:rsid w:val="006B0B8A"/>
    <w:rsid w:val="006D5B11"/>
    <w:rsid w:val="006F0029"/>
    <w:rsid w:val="00724EE7"/>
    <w:rsid w:val="0076706B"/>
    <w:rsid w:val="007A7A0F"/>
    <w:rsid w:val="007B04C4"/>
    <w:rsid w:val="00813410"/>
    <w:rsid w:val="008220F0"/>
    <w:rsid w:val="00823210"/>
    <w:rsid w:val="00850287"/>
    <w:rsid w:val="008738A9"/>
    <w:rsid w:val="008815DF"/>
    <w:rsid w:val="00893ED3"/>
    <w:rsid w:val="008B2334"/>
    <w:rsid w:val="008B26E1"/>
    <w:rsid w:val="008C6E01"/>
    <w:rsid w:val="008F4F65"/>
    <w:rsid w:val="00912BC7"/>
    <w:rsid w:val="0092234F"/>
    <w:rsid w:val="00925927"/>
    <w:rsid w:val="009274C7"/>
    <w:rsid w:val="00930F3A"/>
    <w:rsid w:val="00981EEE"/>
    <w:rsid w:val="009A5F04"/>
    <w:rsid w:val="009A74AC"/>
    <w:rsid w:val="009A7EE8"/>
    <w:rsid w:val="009B2402"/>
    <w:rsid w:val="009B3042"/>
    <w:rsid w:val="009C462B"/>
    <w:rsid w:val="009D2A87"/>
    <w:rsid w:val="009E134A"/>
    <w:rsid w:val="009E62CF"/>
    <w:rsid w:val="00A01EC5"/>
    <w:rsid w:val="00A1416D"/>
    <w:rsid w:val="00A1665D"/>
    <w:rsid w:val="00A16686"/>
    <w:rsid w:val="00A40821"/>
    <w:rsid w:val="00A77A53"/>
    <w:rsid w:val="00A83B36"/>
    <w:rsid w:val="00A975A6"/>
    <w:rsid w:val="00AA4EF5"/>
    <w:rsid w:val="00AB2839"/>
    <w:rsid w:val="00AC3871"/>
    <w:rsid w:val="00AC3AD8"/>
    <w:rsid w:val="00AE6AA3"/>
    <w:rsid w:val="00B05749"/>
    <w:rsid w:val="00B3115C"/>
    <w:rsid w:val="00B53D06"/>
    <w:rsid w:val="00B7312C"/>
    <w:rsid w:val="00BA1BBE"/>
    <w:rsid w:val="00BB1A5A"/>
    <w:rsid w:val="00BC40A3"/>
    <w:rsid w:val="00C02DC3"/>
    <w:rsid w:val="00C20116"/>
    <w:rsid w:val="00C71C9E"/>
    <w:rsid w:val="00CB0F67"/>
    <w:rsid w:val="00CC1E61"/>
    <w:rsid w:val="00CD744C"/>
    <w:rsid w:val="00CF7AC5"/>
    <w:rsid w:val="00D0092A"/>
    <w:rsid w:val="00D04621"/>
    <w:rsid w:val="00D26757"/>
    <w:rsid w:val="00D512C3"/>
    <w:rsid w:val="00D632C9"/>
    <w:rsid w:val="00D95AA2"/>
    <w:rsid w:val="00DA27CC"/>
    <w:rsid w:val="00DE5C67"/>
    <w:rsid w:val="00E03DF2"/>
    <w:rsid w:val="00E0679E"/>
    <w:rsid w:val="00E076C0"/>
    <w:rsid w:val="00E10A3B"/>
    <w:rsid w:val="00E12BE1"/>
    <w:rsid w:val="00E338FC"/>
    <w:rsid w:val="00E53E6E"/>
    <w:rsid w:val="00E6002C"/>
    <w:rsid w:val="00EB1D85"/>
    <w:rsid w:val="00EF694D"/>
    <w:rsid w:val="00F02F56"/>
    <w:rsid w:val="00F05085"/>
    <w:rsid w:val="00F112C1"/>
    <w:rsid w:val="00F373D9"/>
    <w:rsid w:val="00F65BCD"/>
    <w:rsid w:val="00F904FC"/>
    <w:rsid w:val="00F978EA"/>
    <w:rsid w:val="00FA0EBB"/>
    <w:rsid w:val="00FD73EC"/>
    <w:rsid w:val="5DD29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ED215"/>
  <w15:docId w15:val="{5C0B9ECF-EFAA-4E4E-8935-2A48F3BA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link w:val="Heading2Char"/>
    <w:uiPriority w:val="9"/>
    <w:qFormat/>
    <w:rsid w:val="00912B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1E61"/>
    <w:rPr>
      <w:color w:val="0000FF"/>
      <w:u w:val="single"/>
    </w:rPr>
  </w:style>
  <w:style w:type="paragraph" w:styleId="BalloonText">
    <w:name w:val="Balloon Text"/>
    <w:basedOn w:val="Normal"/>
    <w:semiHidden/>
    <w:rsid w:val="00CB0F67"/>
    <w:rPr>
      <w:rFonts w:ascii="Tahoma" w:hAnsi="Tahoma" w:cs="Tahoma"/>
      <w:sz w:val="16"/>
      <w:szCs w:val="16"/>
    </w:rPr>
  </w:style>
  <w:style w:type="character" w:customStyle="1" w:styleId="v1">
    <w:name w:val="v1"/>
    <w:basedOn w:val="DefaultParagraphFont"/>
    <w:rsid w:val="00CB0F67"/>
    <w:rPr>
      <w:u w:val="single"/>
    </w:rPr>
  </w:style>
  <w:style w:type="paragraph" w:styleId="Footer">
    <w:name w:val="footer"/>
    <w:basedOn w:val="Normal"/>
    <w:link w:val="FooterChar"/>
    <w:uiPriority w:val="99"/>
    <w:rsid w:val="00AE6AA3"/>
    <w:pPr>
      <w:tabs>
        <w:tab w:val="center" w:pos="4320"/>
        <w:tab w:val="right" w:pos="8640"/>
      </w:tabs>
    </w:pPr>
  </w:style>
  <w:style w:type="character" w:styleId="PageNumber">
    <w:name w:val="page number"/>
    <w:basedOn w:val="DefaultParagraphFont"/>
    <w:rsid w:val="00AE6AA3"/>
  </w:style>
  <w:style w:type="paragraph" w:styleId="PlainText">
    <w:name w:val="Plain Text"/>
    <w:basedOn w:val="Normal"/>
    <w:rsid w:val="00507019"/>
    <w:rPr>
      <w:rFonts w:ascii="Courier New" w:hAnsi="Courier New" w:cs="Courier New"/>
      <w:sz w:val="20"/>
    </w:rPr>
  </w:style>
  <w:style w:type="character" w:styleId="CommentReference">
    <w:name w:val="annotation reference"/>
    <w:basedOn w:val="DefaultParagraphFont"/>
    <w:semiHidden/>
    <w:rsid w:val="00D632C9"/>
    <w:rPr>
      <w:sz w:val="16"/>
      <w:szCs w:val="16"/>
    </w:rPr>
  </w:style>
  <w:style w:type="paragraph" w:styleId="CommentText">
    <w:name w:val="annotation text"/>
    <w:basedOn w:val="Normal"/>
    <w:semiHidden/>
    <w:rsid w:val="00D632C9"/>
    <w:rPr>
      <w:sz w:val="20"/>
    </w:rPr>
  </w:style>
  <w:style w:type="paragraph" w:styleId="CommentSubject">
    <w:name w:val="annotation subject"/>
    <w:basedOn w:val="CommentText"/>
    <w:next w:val="CommentText"/>
    <w:semiHidden/>
    <w:rsid w:val="00D632C9"/>
    <w:rPr>
      <w:b/>
      <w:bCs/>
    </w:rPr>
  </w:style>
  <w:style w:type="paragraph" w:styleId="NoSpacing">
    <w:name w:val="No Spacing"/>
    <w:link w:val="NoSpacingChar"/>
    <w:uiPriority w:val="1"/>
    <w:qFormat/>
    <w:rsid w:val="00547958"/>
    <w:rPr>
      <w:rFonts w:ascii="Calibri" w:eastAsia="Calibri" w:hAnsi="Calibri"/>
      <w:sz w:val="22"/>
      <w:szCs w:val="22"/>
    </w:rPr>
  </w:style>
  <w:style w:type="paragraph" w:styleId="Header">
    <w:name w:val="header"/>
    <w:basedOn w:val="Normal"/>
    <w:link w:val="HeaderChar"/>
    <w:unhideWhenUsed/>
    <w:rsid w:val="0014147C"/>
    <w:pPr>
      <w:tabs>
        <w:tab w:val="center" w:pos="4680"/>
        <w:tab w:val="right" w:pos="9360"/>
      </w:tabs>
    </w:pPr>
  </w:style>
  <w:style w:type="character" w:customStyle="1" w:styleId="HeaderChar">
    <w:name w:val="Header Char"/>
    <w:basedOn w:val="DefaultParagraphFont"/>
    <w:link w:val="Header"/>
    <w:rsid w:val="0014147C"/>
    <w:rPr>
      <w:sz w:val="24"/>
    </w:rPr>
  </w:style>
  <w:style w:type="character" w:customStyle="1" w:styleId="FooterChar">
    <w:name w:val="Footer Char"/>
    <w:basedOn w:val="DefaultParagraphFont"/>
    <w:link w:val="Footer"/>
    <w:uiPriority w:val="99"/>
    <w:rsid w:val="0014147C"/>
    <w:rPr>
      <w:sz w:val="24"/>
    </w:rPr>
  </w:style>
  <w:style w:type="paragraph" w:styleId="ListParagraph">
    <w:name w:val="List Paragraph"/>
    <w:basedOn w:val="Normal"/>
    <w:uiPriority w:val="34"/>
    <w:qFormat/>
    <w:rsid w:val="00AA4EF5"/>
    <w:pPr>
      <w:ind w:left="720"/>
      <w:contextualSpacing/>
    </w:pPr>
  </w:style>
  <w:style w:type="character" w:customStyle="1" w:styleId="Heading2Char">
    <w:name w:val="Heading 2 Char"/>
    <w:basedOn w:val="DefaultParagraphFont"/>
    <w:link w:val="Heading2"/>
    <w:uiPriority w:val="9"/>
    <w:rsid w:val="00912BC7"/>
    <w:rPr>
      <w:b/>
      <w:bCs/>
      <w:sz w:val="36"/>
      <w:szCs w:val="36"/>
    </w:rPr>
  </w:style>
  <w:style w:type="paragraph" w:styleId="NormalWeb">
    <w:name w:val="Normal (Web)"/>
    <w:basedOn w:val="Normal"/>
    <w:uiPriority w:val="99"/>
    <w:semiHidden/>
    <w:unhideWhenUsed/>
    <w:rsid w:val="00912BC7"/>
    <w:pPr>
      <w:spacing w:before="100" w:beforeAutospacing="1" w:after="100" w:afterAutospacing="1"/>
    </w:pPr>
    <w:rPr>
      <w:szCs w:val="24"/>
    </w:rPr>
  </w:style>
  <w:style w:type="character" w:customStyle="1" w:styleId="NoSpacingChar">
    <w:name w:val="No Spacing Char"/>
    <w:basedOn w:val="DefaultParagraphFont"/>
    <w:link w:val="NoSpacing"/>
    <w:uiPriority w:val="1"/>
    <w:rsid w:val="00912BC7"/>
    <w:rPr>
      <w:rFonts w:ascii="Calibri" w:eastAsia="Calibri" w:hAnsi="Calibri"/>
      <w:sz w:val="22"/>
      <w:szCs w:val="22"/>
    </w:rPr>
  </w:style>
  <w:style w:type="paragraph" w:styleId="BodyText">
    <w:name w:val="Body Text"/>
    <w:basedOn w:val="Normal"/>
    <w:link w:val="BodyTextChar"/>
    <w:uiPriority w:val="1"/>
    <w:qFormat/>
    <w:rsid w:val="008C6E01"/>
    <w:pPr>
      <w:widowControl w:val="0"/>
      <w:autoSpaceDE w:val="0"/>
      <w:autoSpaceDN w:val="0"/>
    </w:pPr>
    <w:rPr>
      <w:szCs w:val="24"/>
      <w:lang w:bidi="en-US"/>
    </w:rPr>
  </w:style>
  <w:style w:type="character" w:customStyle="1" w:styleId="BodyTextChar">
    <w:name w:val="Body Text Char"/>
    <w:basedOn w:val="DefaultParagraphFont"/>
    <w:link w:val="BodyText"/>
    <w:uiPriority w:val="1"/>
    <w:rsid w:val="008C6E01"/>
    <w:rPr>
      <w:sz w:val="24"/>
      <w:szCs w:val="24"/>
      <w:lang w:bidi="en-US"/>
    </w:rPr>
  </w:style>
  <w:style w:type="paragraph" w:customStyle="1" w:styleId="Default">
    <w:name w:val="Default"/>
    <w:rsid w:val="008C6E0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2023">
      <w:bodyDiv w:val="1"/>
      <w:marLeft w:val="0"/>
      <w:marRight w:val="0"/>
      <w:marTop w:val="0"/>
      <w:marBottom w:val="0"/>
      <w:divBdr>
        <w:top w:val="none" w:sz="0" w:space="0" w:color="auto"/>
        <w:left w:val="none" w:sz="0" w:space="0" w:color="auto"/>
        <w:bottom w:val="none" w:sz="0" w:space="0" w:color="auto"/>
        <w:right w:val="none" w:sz="0" w:space="0" w:color="auto"/>
      </w:divBdr>
    </w:div>
    <w:div w:id="789474868">
      <w:bodyDiv w:val="1"/>
      <w:marLeft w:val="0"/>
      <w:marRight w:val="0"/>
      <w:marTop w:val="0"/>
      <w:marBottom w:val="0"/>
      <w:divBdr>
        <w:top w:val="none" w:sz="0" w:space="0" w:color="auto"/>
        <w:left w:val="none" w:sz="0" w:space="0" w:color="auto"/>
        <w:bottom w:val="none" w:sz="0" w:space="0" w:color="auto"/>
        <w:right w:val="none" w:sz="0" w:space="0" w:color="auto"/>
      </w:divBdr>
    </w:div>
    <w:div w:id="1177159506">
      <w:bodyDiv w:val="1"/>
      <w:marLeft w:val="0"/>
      <w:marRight w:val="0"/>
      <w:marTop w:val="0"/>
      <w:marBottom w:val="0"/>
      <w:divBdr>
        <w:top w:val="none" w:sz="0" w:space="0" w:color="auto"/>
        <w:left w:val="none" w:sz="0" w:space="0" w:color="auto"/>
        <w:bottom w:val="none" w:sz="0" w:space="0" w:color="auto"/>
        <w:right w:val="none" w:sz="0" w:space="0" w:color="auto"/>
      </w:divBdr>
    </w:div>
    <w:div w:id="1303852451">
      <w:bodyDiv w:val="1"/>
      <w:marLeft w:val="0"/>
      <w:marRight w:val="0"/>
      <w:marTop w:val="0"/>
      <w:marBottom w:val="0"/>
      <w:divBdr>
        <w:top w:val="none" w:sz="0" w:space="0" w:color="auto"/>
        <w:left w:val="none" w:sz="0" w:space="0" w:color="auto"/>
        <w:bottom w:val="none" w:sz="0" w:space="0" w:color="auto"/>
        <w:right w:val="none" w:sz="0" w:space="0" w:color="auto"/>
      </w:divBdr>
    </w:div>
    <w:div w:id="19877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 Id="Rb7d44e806d094364"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1363-9DB1-4F03-BB81-27BE29F6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 Shields</dc:creator>
  <cp:lastModifiedBy>King, Nathan A</cp:lastModifiedBy>
  <cp:revision>2</cp:revision>
  <cp:lastPrinted>2008-10-14T22:59:00Z</cp:lastPrinted>
  <dcterms:created xsi:type="dcterms:W3CDTF">2020-08-07T19:59:00Z</dcterms:created>
  <dcterms:modified xsi:type="dcterms:W3CDTF">2020-08-07T19:59:00Z</dcterms:modified>
</cp:coreProperties>
</file>