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6" w:lineRule="auto" w:before="73"/>
        <w:ind w:left="1132" w:right="1117" w:firstLine="3"/>
        <w:jc w:val="center"/>
        <w:rPr>
          <w:sz w:val="28"/>
        </w:rPr>
      </w:pPr>
      <w:r>
        <w:rPr>
          <w:sz w:val="28"/>
        </w:rPr>
        <w:t>Final Recommendation on North Beach Cottages Accepted by unanimous vote of the Advisory</w:t>
      </w:r>
      <w:r>
        <w:rPr>
          <w:spacing w:val="-25"/>
          <w:sz w:val="28"/>
        </w:rPr>
        <w:t> </w:t>
      </w:r>
      <w:r>
        <w:rPr>
          <w:sz w:val="28"/>
        </w:rPr>
        <w:t>Commission November 14,</w:t>
      </w:r>
      <w:r>
        <w:rPr>
          <w:spacing w:val="-2"/>
          <w:sz w:val="28"/>
        </w:rPr>
        <w:t> </w:t>
      </w:r>
      <w:r>
        <w:rPr>
          <w:sz w:val="28"/>
        </w:rPr>
        <w:t>2011</w:t>
      </w:r>
    </w:p>
    <w:p>
      <w:pPr>
        <w:pStyle w:val="BodyText"/>
        <w:spacing w:before="4"/>
        <w:ind w:firstLine="0"/>
        <w:rPr>
          <w:sz w:val="25"/>
        </w:rPr>
      </w:pPr>
    </w:p>
    <w:p>
      <w:pPr>
        <w:pStyle w:val="ListParagraph"/>
        <w:numPr>
          <w:ilvl w:val="0"/>
          <w:numId w:val="1"/>
        </w:numPr>
        <w:tabs>
          <w:tab w:pos="1181" w:val="left" w:leader="none"/>
        </w:tabs>
        <w:spacing w:line="276" w:lineRule="auto" w:before="0" w:after="0"/>
        <w:ind w:left="1180" w:right="152" w:hanging="360"/>
        <w:jc w:val="left"/>
        <w:rPr>
          <w:sz w:val="22"/>
        </w:rPr>
      </w:pPr>
      <w:r>
        <w:rPr>
          <w:sz w:val="22"/>
        </w:rPr>
        <w:t>Concurs that the North Beach cottages are all threatened with some in more jeopardy than</w:t>
      </w:r>
      <w:r>
        <w:rPr>
          <w:spacing w:val="-1"/>
          <w:sz w:val="22"/>
        </w:rPr>
        <w:t> </w:t>
      </w:r>
      <w:r>
        <w:rPr>
          <w:sz w:val="22"/>
        </w:rPr>
        <w:t>others.</w:t>
      </w:r>
    </w:p>
    <w:p>
      <w:pPr>
        <w:pStyle w:val="BodyText"/>
        <w:spacing w:before="4"/>
        <w:ind w:firstLine="0"/>
        <w:rPr>
          <w:sz w:val="25"/>
        </w:rPr>
      </w:pPr>
    </w:p>
    <w:p>
      <w:pPr>
        <w:pStyle w:val="ListParagraph"/>
        <w:numPr>
          <w:ilvl w:val="0"/>
          <w:numId w:val="1"/>
        </w:numPr>
        <w:tabs>
          <w:tab w:pos="1181" w:val="left" w:leader="none"/>
        </w:tabs>
        <w:spacing w:line="276" w:lineRule="auto" w:before="1" w:after="0"/>
        <w:ind w:left="1180" w:right="256" w:hanging="360"/>
        <w:jc w:val="left"/>
        <w:rPr>
          <w:sz w:val="22"/>
        </w:rPr>
      </w:pPr>
      <w:r>
        <w:rPr>
          <w:sz w:val="22"/>
        </w:rPr>
        <w:t>Understands the CCNS logic and reasoning in its decision to be proactive for all the relevant risk and safety factors, budgetary considerations and natural resource protection responsibilities but is concerned about the abbreviated process used to reach that decision.</w:t>
      </w:r>
    </w:p>
    <w:p>
      <w:pPr>
        <w:pStyle w:val="BodyText"/>
        <w:spacing w:before="3"/>
        <w:ind w:firstLine="0"/>
        <w:rPr>
          <w:sz w:val="25"/>
        </w:rPr>
      </w:pPr>
    </w:p>
    <w:p>
      <w:pPr>
        <w:pStyle w:val="ListParagraph"/>
        <w:numPr>
          <w:ilvl w:val="0"/>
          <w:numId w:val="1"/>
        </w:numPr>
        <w:tabs>
          <w:tab w:pos="1181" w:val="left" w:leader="none"/>
        </w:tabs>
        <w:spacing w:line="276" w:lineRule="auto" w:before="0" w:after="0"/>
        <w:ind w:left="1180" w:right="247" w:hanging="360"/>
        <w:jc w:val="left"/>
        <w:rPr>
          <w:sz w:val="22"/>
        </w:rPr>
      </w:pPr>
      <w:r>
        <w:rPr>
          <w:sz w:val="22"/>
        </w:rPr>
        <w:t>At a public meeting held by the subcommittee in Chatham on October 12</w:t>
      </w:r>
      <w:r>
        <w:rPr>
          <w:sz w:val="22"/>
          <w:vertAlign w:val="superscript"/>
        </w:rPr>
        <w:t>th</w:t>
      </w:r>
      <w:r>
        <w:rPr>
          <w:sz w:val="22"/>
          <w:vertAlign w:val="baseline"/>
        </w:rPr>
        <w:t>, the subcommittee clearly heard and understands concerns voiced by the Selectmen, the lessee’s and others about historical and community value, procedural concerns, and natural processes. The goal is to develop an approach to manage the situation that is responsive to these immediate concerns and respects the overarching management responsibilities of</w:t>
      </w:r>
      <w:r>
        <w:rPr>
          <w:spacing w:val="0"/>
          <w:sz w:val="22"/>
          <w:vertAlign w:val="baseline"/>
        </w:rPr>
        <w:t> </w:t>
      </w:r>
      <w:r>
        <w:rPr>
          <w:sz w:val="22"/>
          <w:vertAlign w:val="baseline"/>
        </w:rPr>
        <w:t>CCNS.</w:t>
      </w:r>
    </w:p>
    <w:p>
      <w:pPr>
        <w:pStyle w:val="BodyText"/>
        <w:spacing w:before="2"/>
        <w:ind w:firstLine="0"/>
        <w:rPr>
          <w:sz w:val="25"/>
        </w:rPr>
      </w:pPr>
    </w:p>
    <w:p>
      <w:pPr>
        <w:pStyle w:val="BodyText"/>
        <w:spacing w:line="278" w:lineRule="auto"/>
        <w:ind w:left="100" w:right="305" w:firstLine="0"/>
      </w:pPr>
      <w:r>
        <w:rPr/>
        <w:t>Therefore the North Beach Subcommittee concurs and recommends to the full CCNS Advisory Commission the following:</w:t>
      </w:r>
    </w:p>
    <w:p>
      <w:pPr>
        <w:pStyle w:val="BodyText"/>
        <w:ind w:firstLine="0"/>
        <w:rPr>
          <w:sz w:val="25"/>
        </w:rPr>
      </w:pPr>
    </w:p>
    <w:p>
      <w:pPr>
        <w:pStyle w:val="ListParagraph"/>
        <w:numPr>
          <w:ilvl w:val="0"/>
          <w:numId w:val="2"/>
        </w:numPr>
        <w:tabs>
          <w:tab w:pos="821" w:val="left" w:leader="none"/>
        </w:tabs>
        <w:spacing w:line="240" w:lineRule="auto" w:before="0" w:after="0"/>
        <w:ind w:left="820" w:right="0" w:hanging="360"/>
        <w:jc w:val="left"/>
        <w:rPr>
          <w:sz w:val="22"/>
        </w:rPr>
      </w:pPr>
      <w:r>
        <w:rPr>
          <w:sz w:val="22"/>
          <w:u w:val="single"/>
        </w:rPr>
        <w:t>Any final CCNS action be delayed for one year until Oct</w:t>
      </w:r>
      <w:r>
        <w:rPr>
          <w:spacing w:val="-11"/>
          <w:sz w:val="22"/>
          <w:u w:val="single"/>
        </w:rPr>
        <w:t> </w:t>
      </w:r>
      <w:r>
        <w:rPr>
          <w:sz w:val="22"/>
          <w:u w:val="single"/>
        </w:rPr>
        <w:t>2012:</w:t>
      </w:r>
    </w:p>
    <w:p>
      <w:pPr>
        <w:pStyle w:val="ListParagraph"/>
        <w:numPr>
          <w:ilvl w:val="1"/>
          <w:numId w:val="2"/>
        </w:numPr>
        <w:tabs>
          <w:tab w:pos="1540" w:val="left" w:leader="none"/>
          <w:tab w:pos="1541" w:val="left" w:leader="none"/>
        </w:tabs>
        <w:spacing w:line="276" w:lineRule="auto" w:before="37" w:after="0"/>
        <w:ind w:left="1540" w:right="410" w:hanging="360"/>
        <w:jc w:val="left"/>
        <w:rPr>
          <w:sz w:val="22"/>
        </w:rPr>
      </w:pPr>
      <w:r>
        <w:rPr>
          <w:sz w:val="22"/>
        </w:rPr>
        <w:t>During this period, it is expected that the historic preservation 106 application process will be</w:t>
      </w:r>
      <w:r>
        <w:rPr>
          <w:spacing w:val="1"/>
          <w:sz w:val="22"/>
        </w:rPr>
        <w:t> </w:t>
      </w:r>
      <w:r>
        <w:rPr>
          <w:sz w:val="22"/>
        </w:rPr>
        <w:t>concluded;</w:t>
      </w:r>
    </w:p>
    <w:p>
      <w:pPr>
        <w:pStyle w:val="ListParagraph"/>
        <w:numPr>
          <w:ilvl w:val="1"/>
          <w:numId w:val="2"/>
        </w:numPr>
        <w:tabs>
          <w:tab w:pos="1595" w:val="left" w:leader="none"/>
          <w:tab w:pos="1596" w:val="left" w:leader="none"/>
        </w:tabs>
        <w:spacing w:line="240" w:lineRule="auto" w:before="2" w:after="0"/>
        <w:ind w:left="1595" w:right="0" w:hanging="415"/>
        <w:jc w:val="left"/>
        <w:rPr>
          <w:sz w:val="22"/>
        </w:rPr>
      </w:pPr>
      <w:r>
        <w:rPr>
          <w:sz w:val="22"/>
        </w:rPr>
        <w:t>additional discussions with Town of Chatham officials can be</w:t>
      </w:r>
      <w:r>
        <w:rPr>
          <w:spacing w:val="-14"/>
          <w:sz w:val="22"/>
        </w:rPr>
        <w:t> </w:t>
      </w:r>
      <w:r>
        <w:rPr>
          <w:sz w:val="22"/>
        </w:rPr>
        <w:t>conducted;</w:t>
      </w:r>
    </w:p>
    <w:p>
      <w:pPr>
        <w:pStyle w:val="ListParagraph"/>
        <w:numPr>
          <w:ilvl w:val="1"/>
          <w:numId w:val="2"/>
        </w:numPr>
        <w:tabs>
          <w:tab w:pos="1540" w:val="left" w:leader="none"/>
          <w:tab w:pos="1541" w:val="left" w:leader="none"/>
        </w:tabs>
        <w:spacing w:line="240" w:lineRule="auto" w:before="37" w:after="0"/>
        <w:ind w:left="1540" w:right="0" w:hanging="360"/>
        <w:jc w:val="left"/>
        <w:rPr>
          <w:sz w:val="22"/>
        </w:rPr>
      </w:pPr>
      <w:r>
        <w:rPr>
          <w:sz w:val="22"/>
        </w:rPr>
        <w:t>the Town’s request for no action during the 300</w:t>
      </w:r>
      <w:r>
        <w:rPr>
          <w:sz w:val="22"/>
          <w:vertAlign w:val="superscript"/>
        </w:rPr>
        <w:t>th</w:t>
      </w:r>
      <w:r>
        <w:rPr>
          <w:sz w:val="22"/>
          <w:vertAlign w:val="baseline"/>
        </w:rPr>
        <w:t> Celebration will be</w:t>
      </w:r>
      <w:r>
        <w:rPr>
          <w:spacing w:val="-14"/>
          <w:sz w:val="22"/>
          <w:vertAlign w:val="baseline"/>
        </w:rPr>
        <w:t> </w:t>
      </w:r>
      <w:r>
        <w:rPr>
          <w:sz w:val="22"/>
          <w:vertAlign w:val="baseline"/>
        </w:rPr>
        <w:t>granted;</w:t>
      </w:r>
    </w:p>
    <w:p>
      <w:pPr>
        <w:pStyle w:val="ListParagraph"/>
        <w:numPr>
          <w:ilvl w:val="1"/>
          <w:numId w:val="2"/>
        </w:numPr>
        <w:tabs>
          <w:tab w:pos="1595" w:val="left" w:leader="none"/>
          <w:tab w:pos="1596" w:val="left" w:leader="none"/>
        </w:tabs>
        <w:spacing w:line="240" w:lineRule="auto" w:before="38" w:after="0"/>
        <w:ind w:left="1595" w:right="0" w:hanging="415"/>
        <w:jc w:val="left"/>
        <w:rPr>
          <w:sz w:val="22"/>
        </w:rPr>
      </w:pPr>
      <w:r>
        <w:rPr>
          <w:sz w:val="22"/>
        </w:rPr>
        <w:t>and existing special use permits should be renewed for the 2012</w:t>
      </w:r>
      <w:r>
        <w:rPr>
          <w:spacing w:val="-9"/>
          <w:sz w:val="22"/>
        </w:rPr>
        <w:t> </w:t>
      </w:r>
      <w:r>
        <w:rPr>
          <w:sz w:val="22"/>
        </w:rPr>
        <w:t>season.</w:t>
      </w:r>
    </w:p>
    <w:p>
      <w:pPr>
        <w:pStyle w:val="BodyText"/>
        <w:spacing w:before="8"/>
        <w:ind w:firstLine="0"/>
        <w:rPr>
          <w:sz w:val="28"/>
        </w:rPr>
      </w:pPr>
    </w:p>
    <w:p>
      <w:pPr>
        <w:pStyle w:val="ListParagraph"/>
        <w:numPr>
          <w:ilvl w:val="0"/>
          <w:numId w:val="2"/>
        </w:numPr>
        <w:tabs>
          <w:tab w:pos="821" w:val="left" w:leader="none"/>
        </w:tabs>
        <w:spacing w:line="240" w:lineRule="auto" w:before="0" w:after="0"/>
        <w:ind w:left="820" w:right="0" w:hanging="360"/>
        <w:jc w:val="left"/>
        <w:rPr>
          <w:sz w:val="22"/>
        </w:rPr>
      </w:pPr>
      <w:r>
        <w:rPr>
          <w:sz w:val="22"/>
          <w:u w:val="single"/>
        </w:rPr>
        <w:t>Special use permits issued for the 2012 season should include the following</w:t>
      </w:r>
      <w:r>
        <w:rPr>
          <w:spacing w:val="-15"/>
          <w:sz w:val="22"/>
          <w:u w:val="single"/>
        </w:rPr>
        <w:t> </w:t>
      </w:r>
      <w:r>
        <w:rPr>
          <w:sz w:val="22"/>
          <w:u w:val="single"/>
        </w:rPr>
        <w:t>provisions</w:t>
      </w:r>
      <w:r>
        <w:rPr>
          <w:sz w:val="22"/>
        </w:rPr>
        <w:t>.</w:t>
      </w:r>
    </w:p>
    <w:p>
      <w:pPr>
        <w:pStyle w:val="ListParagraph"/>
        <w:numPr>
          <w:ilvl w:val="1"/>
          <w:numId w:val="2"/>
        </w:numPr>
        <w:tabs>
          <w:tab w:pos="1540" w:val="left" w:leader="none"/>
          <w:tab w:pos="1541" w:val="left" w:leader="none"/>
        </w:tabs>
        <w:spacing w:line="240" w:lineRule="auto" w:before="37" w:after="0"/>
        <w:ind w:left="1540" w:right="0" w:hanging="360"/>
        <w:jc w:val="left"/>
        <w:rPr>
          <w:sz w:val="22"/>
        </w:rPr>
      </w:pPr>
      <w:r>
        <w:rPr>
          <w:sz w:val="22"/>
        </w:rPr>
        <w:t>Notification that it is possible that further permits will not be</w:t>
      </w:r>
      <w:r>
        <w:rPr>
          <w:spacing w:val="-23"/>
          <w:sz w:val="22"/>
        </w:rPr>
        <w:t> </w:t>
      </w:r>
      <w:r>
        <w:rPr>
          <w:sz w:val="22"/>
        </w:rPr>
        <w:t>renewed.</w:t>
      </w:r>
    </w:p>
    <w:p>
      <w:pPr>
        <w:pStyle w:val="ListParagraph"/>
        <w:numPr>
          <w:ilvl w:val="1"/>
          <w:numId w:val="2"/>
        </w:numPr>
        <w:tabs>
          <w:tab w:pos="1541" w:val="left" w:leader="none"/>
        </w:tabs>
        <w:spacing w:line="276" w:lineRule="auto" w:before="38" w:after="0"/>
        <w:ind w:left="1540" w:right="339" w:hanging="360"/>
        <w:jc w:val="left"/>
        <w:rPr>
          <w:sz w:val="22"/>
        </w:rPr>
      </w:pPr>
      <w:r>
        <w:rPr>
          <w:sz w:val="22"/>
        </w:rPr>
        <w:t>That a plan for removal be developed that identifies and removes cottages on a case by case basis that recognizes those in most jeopardy and utilizes removal methods that are most environmentally</w:t>
      </w:r>
      <w:r>
        <w:rPr>
          <w:spacing w:val="-1"/>
          <w:sz w:val="22"/>
        </w:rPr>
        <w:t> </w:t>
      </w:r>
      <w:r>
        <w:rPr>
          <w:sz w:val="22"/>
        </w:rPr>
        <w:t>sensitive.</w:t>
      </w:r>
    </w:p>
    <w:p>
      <w:pPr>
        <w:pStyle w:val="ListParagraph"/>
        <w:numPr>
          <w:ilvl w:val="1"/>
          <w:numId w:val="2"/>
        </w:numPr>
        <w:tabs>
          <w:tab w:pos="1541" w:val="left" w:leader="none"/>
        </w:tabs>
        <w:spacing w:line="276" w:lineRule="auto" w:before="1" w:after="0"/>
        <w:ind w:left="1540" w:right="100" w:hanging="360"/>
        <w:jc w:val="both"/>
        <w:rPr>
          <w:sz w:val="22"/>
        </w:rPr>
      </w:pPr>
      <w:r>
        <w:rPr>
          <w:sz w:val="22"/>
        </w:rPr>
        <w:t>Include a provision that allows CCNS to take immediate action should damage to a cottage create an immediate or imminent safety situation. A camp destroyed by fire or natural catastrophe cannot be</w:t>
      </w:r>
      <w:r>
        <w:rPr>
          <w:spacing w:val="-1"/>
          <w:sz w:val="22"/>
        </w:rPr>
        <w:t> </w:t>
      </w:r>
      <w:r>
        <w:rPr>
          <w:sz w:val="22"/>
        </w:rPr>
        <w:t>rebuilt.</w:t>
      </w:r>
    </w:p>
    <w:p>
      <w:pPr>
        <w:pStyle w:val="ListParagraph"/>
        <w:numPr>
          <w:ilvl w:val="1"/>
          <w:numId w:val="2"/>
        </w:numPr>
        <w:tabs>
          <w:tab w:pos="1541" w:val="left" w:leader="none"/>
        </w:tabs>
        <w:spacing w:line="276" w:lineRule="auto" w:before="0" w:after="0"/>
        <w:ind w:left="1540" w:right="262" w:hanging="360"/>
        <w:jc w:val="left"/>
        <w:rPr>
          <w:sz w:val="22"/>
        </w:rPr>
      </w:pPr>
      <w:r>
        <w:rPr>
          <w:sz w:val="22"/>
        </w:rPr>
        <w:t>An additional fee of $5,000 per cottage is assessed and placed in an escrow account to fund additional staging costs as a result of this extension and case by case</w:t>
      </w:r>
      <w:r>
        <w:rPr>
          <w:spacing w:val="-2"/>
          <w:sz w:val="22"/>
        </w:rPr>
        <w:t> </w:t>
      </w:r>
      <w:r>
        <w:rPr>
          <w:sz w:val="22"/>
        </w:rPr>
        <w:t>approach.</w:t>
      </w:r>
    </w:p>
    <w:sectPr>
      <w:type w:val="continuous"/>
      <w:pgSz w:w="12240" w:h="15840"/>
      <w:pgMar w:top="1360" w:bottom="28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540" w:hanging="36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2348" w:hanging="360"/>
      </w:pPr>
      <w:rPr>
        <w:rFonts w:hint="default"/>
        <w:lang w:val="en-us" w:eastAsia="en-us" w:bidi="en-us"/>
      </w:rPr>
    </w:lvl>
    <w:lvl w:ilvl="3">
      <w:start w:val="0"/>
      <w:numFmt w:val="bullet"/>
      <w:lvlText w:val="•"/>
      <w:lvlJc w:val="left"/>
      <w:pPr>
        <w:ind w:left="3157" w:hanging="360"/>
      </w:pPr>
      <w:rPr>
        <w:rFonts w:hint="default"/>
        <w:lang w:val="en-us" w:eastAsia="en-us" w:bidi="en-us"/>
      </w:rPr>
    </w:lvl>
    <w:lvl w:ilvl="4">
      <w:start w:val="0"/>
      <w:numFmt w:val="bullet"/>
      <w:lvlText w:val="•"/>
      <w:lvlJc w:val="left"/>
      <w:pPr>
        <w:ind w:left="3966" w:hanging="360"/>
      </w:pPr>
      <w:rPr>
        <w:rFonts w:hint="default"/>
        <w:lang w:val="en-us" w:eastAsia="en-us" w:bidi="en-us"/>
      </w:rPr>
    </w:lvl>
    <w:lvl w:ilvl="5">
      <w:start w:val="0"/>
      <w:numFmt w:val="bullet"/>
      <w:lvlText w:val="•"/>
      <w:lvlJc w:val="left"/>
      <w:pPr>
        <w:ind w:left="4775" w:hanging="360"/>
      </w:pPr>
      <w:rPr>
        <w:rFonts w:hint="default"/>
        <w:lang w:val="en-us" w:eastAsia="en-us" w:bidi="en-us"/>
      </w:rPr>
    </w:lvl>
    <w:lvl w:ilvl="6">
      <w:start w:val="0"/>
      <w:numFmt w:val="bullet"/>
      <w:lvlText w:val="•"/>
      <w:lvlJc w:val="left"/>
      <w:pPr>
        <w:ind w:left="5584" w:hanging="360"/>
      </w:pPr>
      <w:rPr>
        <w:rFonts w:hint="default"/>
        <w:lang w:val="en-us" w:eastAsia="en-us" w:bidi="en-us"/>
      </w:rPr>
    </w:lvl>
    <w:lvl w:ilvl="7">
      <w:start w:val="0"/>
      <w:numFmt w:val="bullet"/>
      <w:lvlText w:val="•"/>
      <w:lvlJc w:val="left"/>
      <w:pPr>
        <w:ind w:left="6393" w:hanging="360"/>
      </w:pPr>
      <w:rPr>
        <w:rFonts w:hint="default"/>
        <w:lang w:val="en-us" w:eastAsia="en-us" w:bidi="en-us"/>
      </w:rPr>
    </w:lvl>
    <w:lvl w:ilvl="8">
      <w:start w:val="0"/>
      <w:numFmt w:val="bullet"/>
      <w:lvlText w:val="•"/>
      <w:lvlJc w:val="left"/>
      <w:pPr>
        <w:ind w:left="7202" w:hanging="360"/>
      </w:pPr>
      <w:rPr>
        <w:rFonts w:hint="default"/>
        <w:lang w:val="en-us" w:eastAsia="en-us" w:bidi="en-us"/>
      </w:rPr>
    </w:lvl>
  </w:abstractNum>
  <w:abstractNum w:abstractNumId="0">
    <w:multiLevelType w:val="hybridMultilevel"/>
    <w:lvl w:ilvl="0">
      <w:start w:val="1"/>
      <w:numFmt w:val="decimal"/>
      <w:lvlText w:val="%1."/>
      <w:lvlJc w:val="left"/>
      <w:pPr>
        <w:ind w:left="118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944" w:hanging="360"/>
      </w:pPr>
      <w:rPr>
        <w:rFonts w:hint="default"/>
        <w:lang w:val="en-us" w:eastAsia="en-us" w:bidi="en-us"/>
      </w:rPr>
    </w:lvl>
    <w:lvl w:ilvl="2">
      <w:start w:val="0"/>
      <w:numFmt w:val="bullet"/>
      <w:lvlText w:val="•"/>
      <w:lvlJc w:val="left"/>
      <w:pPr>
        <w:ind w:left="2708" w:hanging="360"/>
      </w:pPr>
      <w:rPr>
        <w:rFonts w:hint="default"/>
        <w:lang w:val="en-us" w:eastAsia="en-us" w:bidi="en-us"/>
      </w:rPr>
    </w:lvl>
    <w:lvl w:ilvl="3">
      <w:start w:val="0"/>
      <w:numFmt w:val="bullet"/>
      <w:lvlText w:val="•"/>
      <w:lvlJc w:val="left"/>
      <w:pPr>
        <w:ind w:left="3472" w:hanging="360"/>
      </w:pPr>
      <w:rPr>
        <w:rFonts w:hint="default"/>
        <w:lang w:val="en-us" w:eastAsia="en-us" w:bidi="en-us"/>
      </w:rPr>
    </w:lvl>
    <w:lvl w:ilvl="4">
      <w:start w:val="0"/>
      <w:numFmt w:val="bullet"/>
      <w:lvlText w:val="•"/>
      <w:lvlJc w:val="left"/>
      <w:pPr>
        <w:ind w:left="4236" w:hanging="360"/>
      </w:pPr>
      <w:rPr>
        <w:rFonts w:hint="default"/>
        <w:lang w:val="en-us" w:eastAsia="en-us" w:bidi="en-us"/>
      </w:rPr>
    </w:lvl>
    <w:lvl w:ilvl="5">
      <w:start w:val="0"/>
      <w:numFmt w:val="bullet"/>
      <w:lvlText w:val="•"/>
      <w:lvlJc w:val="left"/>
      <w:pPr>
        <w:ind w:left="5000" w:hanging="360"/>
      </w:pPr>
      <w:rPr>
        <w:rFonts w:hint="default"/>
        <w:lang w:val="en-us" w:eastAsia="en-us" w:bidi="en-us"/>
      </w:rPr>
    </w:lvl>
    <w:lvl w:ilvl="6">
      <w:start w:val="0"/>
      <w:numFmt w:val="bullet"/>
      <w:lvlText w:val="•"/>
      <w:lvlJc w:val="left"/>
      <w:pPr>
        <w:ind w:left="5764" w:hanging="360"/>
      </w:pPr>
      <w:rPr>
        <w:rFonts w:hint="default"/>
        <w:lang w:val="en-us" w:eastAsia="en-us" w:bidi="en-us"/>
      </w:rPr>
    </w:lvl>
    <w:lvl w:ilvl="7">
      <w:start w:val="0"/>
      <w:numFmt w:val="bullet"/>
      <w:lvlText w:val="•"/>
      <w:lvlJc w:val="left"/>
      <w:pPr>
        <w:ind w:left="6528" w:hanging="360"/>
      </w:pPr>
      <w:rPr>
        <w:rFonts w:hint="default"/>
        <w:lang w:val="en-us" w:eastAsia="en-us" w:bidi="en-us"/>
      </w:rPr>
    </w:lvl>
    <w:lvl w:ilvl="8">
      <w:start w:val="0"/>
      <w:numFmt w:val="bullet"/>
      <w:lvlText w:val="•"/>
      <w:lvlJc w:val="left"/>
      <w:pPr>
        <w:ind w:left="7292"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hanging="36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ind w:left="154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dc:title>Final Recommendation on North Beach Cottages</dc:title>
  <dcterms:created xsi:type="dcterms:W3CDTF">2018-01-29T15:05:49Z</dcterms:created>
  <dcterms:modified xsi:type="dcterms:W3CDTF">2018-01-29T15:05:49Z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2011-12-07T00:00:00Z</vt:filetime>
  </property>
  <property fmtid="{D5CDD505-2E9C-101B-9397-08002B2CF9AE}" pid="3" name="Creator">
    <vt:lpwstr>Microsoft® Office Word 2007</vt:lpwstr>
  </property>
  <property fmtid="{D5CDD505-2E9C-101B-9397-08002B2CF9AE}" pid="4" name="LastSaved">
    <vt:filetime>2018-01-29T00:00:00Z</vt:filetime>
  </property>
</Properties>
</file>