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FB7C6E">
        <w:rPr>
          <w:rFonts w:ascii="Arial" w:hAnsi="Arial" w:cs="Arial"/>
          <w:i/>
          <w:sz w:val="18"/>
          <w:szCs w:val="18"/>
        </w:rPr>
      </w:r>
      <w:r w:rsidR="00FB7C6E">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FB7C6E">
        <w:rPr>
          <w:rFonts w:ascii="Arial" w:hAnsi="Arial" w:cs="Arial"/>
          <w:sz w:val="18"/>
          <w:szCs w:val="18"/>
        </w:rPr>
      </w:r>
      <w:r w:rsidR="00FB7C6E">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FB7C6E">
        <w:rPr>
          <w:rFonts w:ascii="Arial" w:hAnsi="Arial" w:cs="Arial"/>
          <w:sz w:val="18"/>
          <w:szCs w:val="18"/>
        </w:rPr>
      </w:r>
      <w:r w:rsidR="00FB7C6E">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B7C6E">
        <w:rPr>
          <w:rFonts w:ascii="Arial" w:hAnsi="Arial" w:cs="Arial"/>
          <w:sz w:val="16"/>
          <w:szCs w:val="16"/>
        </w:rPr>
      </w:r>
      <w:r w:rsidR="00FB7C6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AB436D9" w14:textId="3016B3B9" w:rsidR="0036626C" w:rsidRPr="0036626C" w:rsidRDefault="0036626C" w:rsidP="00397DB9">
      <w:pPr>
        <w:spacing w:after="120"/>
        <w:ind w:left="360"/>
        <w:rPr>
          <w:rFonts w:ascii="Arial" w:hAnsi="Arial" w:cs="Arial"/>
          <w:sz w:val="18"/>
          <w:szCs w:val="18"/>
        </w:rPr>
      </w:pPr>
      <w:r w:rsidRPr="0036626C">
        <w:rPr>
          <w:rFonts w:ascii="Arial" w:hAnsi="Arial" w:cs="Arial"/>
          <w:sz w:val="18"/>
          <w:szCs w:val="18"/>
        </w:rPr>
        <w:t>Guided Photography Classes, Guided Fishing or Sightseeing via john boat or drift boat, Guided Hiking, and Firewood Sales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3DE54D54"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C56542">
        <w:rPr>
          <w:rFonts w:ascii="Arial" w:hAnsi="Arial" w:cs="Arial"/>
          <w:sz w:val="18"/>
          <w:szCs w:val="18"/>
        </w:rPr>
        <w:t>- $</w:t>
      </w:r>
      <w:r w:rsidR="00C56542" w:rsidRPr="00C56542">
        <w:rPr>
          <w:rFonts w:ascii="Arial" w:hAnsi="Arial" w:cs="Arial"/>
          <w:sz w:val="18"/>
          <w:szCs w:val="18"/>
        </w:rPr>
        <w:t>100.</w:t>
      </w:r>
      <w:proofErr w:type="gramStart"/>
      <w:r w:rsidR="00C56542" w:rsidRPr="00C56542">
        <w:rPr>
          <w:rFonts w:ascii="Arial" w:hAnsi="Arial" w:cs="Arial"/>
          <w:sz w:val="18"/>
          <w:szCs w:val="18"/>
        </w:rPr>
        <w:t>00</w:t>
      </w:r>
      <w:r w:rsidRPr="00C56542">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w:t>
      </w:r>
      <w:proofErr w:type="gramEnd"/>
      <w:r w:rsidRPr="00725C56">
        <w:rPr>
          <w:rFonts w:ascii="Arial" w:hAnsi="Arial" w:cs="Arial"/>
          <w:sz w:val="18"/>
          <w:szCs w:val="18"/>
        </w:rPr>
        <w:t xml:space="preserv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4"/>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45A99BD5"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A sample Acknowledgment of Risk form may be obtained by contacting the CUA office at</w:t>
      </w:r>
      <w:r w:rsidR="00C56542">
        <w:rPr>
          <w:rFonts w:ascii="Arial" w:hAnsi="Arial" w:cs="Arial"/>
          <w:sz w:val="18"/>
          <w:szCs w:val="18"/>
        </w:rPr>
        <w:t xml:space="preserve"> 870-365-2724 or 870-365-2702</w:t>
      </w:r>
      <w:r w:rsidRPr="00E7411C">
        <w:rPr>
          <w:rFonts w:ascii="Arial" w:hAnsi="Arial" w:cs="Arial"/>
          <w:sz w:val="18"/>
          <w:szCs w:val="18"/>
        </w:rPr>
        <w:t xml:space="preserve"> or </w:t>
      </w:r>
      <w:r w:rsidR="00C56542">
        <w:rPr>
          <w:rFonts w:ascii="Arial" w:hAnsi="Arial" w:cs="Arial"/>
          <w:sz w:val="18"/>
          <w:szCs w:val="18"/>
        </w:rPr>
        <w:t>via email at BUFF_Concessions@nps.gov.</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7E3BD669" w:rsidR="00E8360D" w:rsidRPr="006142C3" w:rsidRDefault="00C56542" w:rsidP="00330730">
      <w:pPr>
        <w:tabs>
          <w:tab w:val="left" w:pos="6480"/>
        </w:tabs>
        <w:rPr>
          <w:rFonts w:ascii="Arial" w:hAnsi="Arial" w:cs="Arial"/>
          <w:sz w:val="18"/>
          <w:szCs w:val="18"/>
        </w:rPr>
      </w:pPr>
      <w:r>
        <w:rPr>
          <w:rFonts w:ascii="Arial" w:hAnsi="Arial" w:cs="Arial"/>
          <w:sz w:val="18"/>
          <w:szCs w:val="18"/>
        </w:rPr>
        <w:t>For park specific terms and conditions for approved services, please contact the Buffalo National River Commercial Services Office at 870-365-2724 or 870-365-2702 or via email at BUFF_Concessions@nps.gov.</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6184D479"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C56542">
        <w:rPr>
          <w:rFonts w:ascii="Arial" w:hAnsi="Arial" w:cs="Arial"/>
          <w:bCs/>
          <w:sz w:val="18"/>
          <w:szCs w:val="18"/>
        </w:rPr>
        <w:t xml:space="preserve"> $500,000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0645DB06"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CUA holders</w:t>
      </w:r>
      <w:r w:rsidR="00C95FB9">
        <w:rPr>
          <w:rFonts w:ascii="Arial" w:hAnsi="Arial" w:cs="Arial"/>
          <w:bCs/>
          <w:sz w:val="18"/>
          <w:szCs w:val="18"/>
        </w:rPr>
        <w:t xml:space="preserve"> (Guided Fishing/Sightseeing via john boat or drift boat CUAs)</w:t>
      </w:r>
      <w:r w:rsidRPr="00B16610">
        <w:rPr>
          <w:rFonts w:ascii="Arial" w:hAnsi="Arial" w:cs="Arial"/>
          <w:bCs/>
          <w:sz w:val="18"/>
          <w:szCs w:val="18"/>
        </w:rPr>
        <w:t xml:space="preserve">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The minimum P&amp;I Vessel Insurance is</w:t>
      </w:r>
      <w:r w:rsidR="00C95FB9">
        <w:rPr>
          <w:rFonts w:ascii="Arial" w:hAnsi="Arial" w:cs="Arial"/>
          <w:noProof/>
          <w:sz w:val="18"/>
          <w:szCs w:val="18"/>
        </w:rPr>
        <w:t xml:space="preserve"> </w:t>
      </w:r>
      <w:r w:rsidR="00C95FB9" w:rsidRPr="00C95FB9">
        <w:rPr>
          <w:rFonts w:ascii="Arial" w:hAnsi="Arial" w:cs="Arial"/>
          <w:noProof/>
          <w:sz w:val="18"/>
          <w:szCs w:val="18"/>
        </w:rPr>
        <w:t>$500,000. H</w:t>
      </w:r>
      <w:r w:rsidR="00C95FB9" w:rsidRPr="00C95FB9">
        <w:rPr>
          <w:rFonts w:ascii="Arial" w:hAnsi="Arial" w:cs="Arial"/>
          <w:bCs/>
          <w:noProof/>
          <w:sz w:val="18"/>
          <w:szCs w:val="18"/>
        </w:rPr>
        <w:t>owever, if Com</w:t>
      </w:r>
      <w:r w:rsidR="00C95FB9" w:rsidRPr="00C95FB9">
        <w:rPr>
          <w:rFonts w:ascii="Arial" w:hAnsi="Arial" w:cs="Arial"/>
          <w:noProof/>
          <w:sz w:val="18"/>
          <w:szCs w:val="18"/>
        </w:rPr>
        <w:t xml:space="preserve">mercial General Liability insurance provides a blanket watercraft endorsement and does not exclude watercraft liability, then a Commercial General Liability insurance policy in the amount of $1,000,000 may be accepted in lieu of the P&amp;I vessel policy. If the CUA holder’s primary policy does not meet the Service established limits for commercial general liability, the CUA holder may obtain additional coverage through an umbrella insurance policy. </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40F036BE"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r w:rsidR="00C95FB9">
        <w:rPr>
          <w:rFonts w:ascii="Arial" w:hAnsi="Arial" w:cs="Arial"/>
          <w:sz w:val="18"/>
          <w:szCs w:val="18"/>
        </w:rPr>
        <w:t>.</w:t>
      </w:r>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4602D813" w14:textId="77777777" w:rsidR="00C95FB9" w:rsidRDefault="00C95FB9" w:rsidP="00D36360">
      <w:pPr>
        <w:pStyle w:val="Heading2"/>
      </w:pPr>
    </w:p>
    <w:p w14:paraId="32F1AB52" w14:textId="25B258BC"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81"/>
        <w:gridCol w:w="1282"/>
        <w:gridCol w:w="5688"/>
      </w:tblGrid>
      <w:tr w:rsidR="00C95FB9" w14:paraId="2934A496" w14:textId="77777777" w:rsidTr="00D130C3">
        <w:trPr>
          <w:trHeight w:val="834"/>
        </w:trPr>
        <w:tc>
          <w:tcPr>
            <w:tcW w:w="9951" w:type="dxa"/>
            <w:gridSpan w:val="3"/>
            <w:tcBorders>
              <w:top w:val="single" w:sz="4" w:space="0" w:color="auto"/>
              <w:left w:val="single" w:sz="4" w:space="0" w:color="auto"/>
              <w:bottom w:val="single" w:sz="2" w:space="0" w:color="auto"/>
              <w:right w:val="single" w:sz="4" w:space="0" w:color="auto"/>
            </w:tcBorders>
            <w:shd w:val="pct10" w:color="auto" w:fill="auto"/>
            <w:vAlign w:val="center"/>
            <w:hideMark/>
          </w:tcPr>
          <w:bookmarkEnd w:id="4"/>
          <w:p w14:paraId="4A976569" w14:textId="77777777" w:rsidR="00C95FB9" w:rsidRDefault="00C95FB9" w:rsidP="00D130C3">
            <w:pPr>
              <w:widowControl w:val="0"/>
              <w:tabs>
                <w:tab w:val="left" w:pos="-1440"/>
                <w:tab w:val="left" w:pos="-720"/>
                <w:tab w:val="left" w:pos="0"/>
                <w:tab w:val="left" w:pos="201"/>
                <w:tab w:val="left" w:pos="403"/>
              </w:tabs>
              <w:suppressAutoHyphens/>
              <w:spacing w:before="120" w:after="120"/>
              <w:jc w:val="center"/>
              <w:rPr>
                <w:rFonts w:ascii="Arial" w:hAnsi="Arial" w:cs="Arial"/>
                <w:bCs/>
                <w:spacing w:val="-2"/>
                <w:sz w:val="18"/>
                <w:szCs w:val="18"/>
              </w:rPr>
            </w:pPr>
            <w:r>
              <w:rPr>
                <w:rFonts w:ascii="Arial" w:hAnsi="Arial" w:cs="Arial"/>
                <w:bCs/>
                <w:spacing w:val="-2"/>
                <w:sz w:val="18"/>
                <w:szCs w:val="18"/>
              </w:rPr>
              <w:t>Land Based Activity CUA Approved Services:</w:t>
            </w:r>
          </w:p>
          <w:p w14:paraId="2D1A5393" w14:textId="77777777" w:rsidR="00C95FB9" w:rsidRDefault="00C95FB9" w:rsidP="00C95FB9">
            <w:pPr>
              <w:pStyle w:val="ListParagraph"/>
              <w:widowControl w:val="0"/>
              <w:numPr>
                <w:ilvl w:val="0"/>
                <w:numId w:val="18"/>
              </w:numPr>
              <w:tabs>
                <w:tab w:val="left" w:pos="-1440"/>
                <w:tab w:val="left" w:pos="-720"/>
                <w:tab w:val="left" w:pos="0"/>
                <w:tab w:val="left" w:pos="201"/>
                <w:tab w:val="left" w:pos="403"/>
              </w:tabs>
              <w:suppressAutoHyphens/>
              <w:contextualSpacing/>
              <w:jc w:val="center"/>
              <w:rPr>
                <w:rFonts w:ascii="Arial" w:hAnsi="Arial" w:cs="Arial"/>
                <w:bCs/>
                <w:spacing w:val="-2"/>
                <w:sz w:val="18"/>
                <w:szCs w:val="18"/>
              </w:rPr>
            </w:pPr>
            <w:r>
              <w:rPr>
                <w:rFonts w:ascii="Arial" w:hAnsi="Arial" w:cs="Arial"/>
                <w:bCs/>
                <w:spacing w:val="-2"/>
                <w:sz w:val="18"/>
                <w:szCs w:val="18"/>
              </w:rPr>
              <w:t>Guided Photography Classes</w:t>
            </w:r>
          </w:p>
          <w:p w14:paraId="6604ED7D" w14:textId="66A489AA" w:rsidR="00C95FB9" w:rsidRDefault="00C95FB9" w:rsidP="00C95FB9">
            <w:pPr>
              <w:pStyle w:val="ListParagraph"/>
              <w:widowControl w:val="0"/>
              <w:numPr>
                <w:ilvl w:val="0"/>
                <w:numId w:val="18"/>
              </w:numPr>
              <w:tabs>
                <w:tab w:val="left" w:pos="-1440"/>
                <w:tab w:val="left" w:pos="-720"/>
                <w:tab w:val="left" w:pos="0"/>
                <w:tab w:val="left" w:pos="201"/>
                <w:tab w:val="left" w:pos="403"/>
              </w:tabs>
              <w:suppressAutoHyphens/>
              <w:contextualSpacing/>
              <w:jc w:val="center"/>
              <w:rPr>
                <w:rFonts w:ascii="Arial" w:hAnsi="Arial" w:cs="Arial"/>
                <w:bCs/>
                <w:spacing w:val="-2"/>
                <w:sz w:val="18"/>
                <w:szCs w:val="18"/>
              </w:rPr>
            </w:pPr>
            <w:r>
              <w:rPr>
                <w:rFonts w:ascii="Arial" w:hAnsi="Arial" w:cs="Arial"/>
                <w:bCs/>
                <w:spacing w:val="-2"/>
                <w:sz w:val="18"/>
                <w:szCs w:val="18"/>
              </w:rPr>
              <w:t>Firewood Sales</w:t>
            </w:r>
          </w:p>
          <w:p w14:paraId="6617D25D" w14:textId="6C269EA9" w:rsidR="00C95FB9" w:rsidRDefault="00C95FB9" w:rsidP="00C95FB9">
            <w:pPr>
              <w:pStyle w:val="ListParagraph"/>
              <w:widowControl w:val="0"/>
              <w:numPr>
                <w:ilvl w:val="0"/>
                <w:numId w:val="18"/>
              </w:numPr>
              <w:tabs>
                <w:tab w:val="left" w:pos="-1440"/>
                <w:tab w:val="left" w:pos="-720"/>
                <w:tab w:val="left" w:pos="0"/>
                <w:tab w:val="left" w:pos="201"/>
                <w:tab w:val="left" w:pos="403"/>
              </w:tabs>
              <w:suppressAutoHyphens/>
              <w:contextualSpacing/>
              <w:jc w:val="center"/>
              <w:rPr>
                <w:rFonts w:ascii="Arial" w:hAnsi="Arial" w:cs="Arial"/>
                <w:bCs/>
                <w:spacing w:val="-2"/>
                <w:sz w:val="18"/>
                <w:szCs w:val="18"/>
              </w:rPr>
            </w:pPr>
            <w:r>
              <w:rPr>
                <w:rFonts w:ascii="Arial" w:hAnsi="Arial" w:cs="Arial"/>
                <w:bCs/>
                <w:spacing w:val="-2"/>
                <w:sz w:val="18"/>
                <w:szCs w:val="18"/>
              </w:rPr>
              <w:t>Guided Hiking</w:t>
            </w:r>
          </w:p>
          <w:p w14:paraId="3AEE2096" w14:textId="5C337B57" w:rsidR="00C95FB9" w:rsidRPr="00C95FB9" w:rsidRDefault="00C95FB9" w:rsidP="00C95FB9">
            <w:pPr>
              <w:widowControl w:val="0"/>
              <w:tabs>
                <w:tab w:val="left" w:pos="-1440"/>
                <w:tab w:val="left" w:pos="-720"/>
                <w:tab w:val="left" w:pos="0"/>
                <w:tab w:val="left" w:pos="201"/>
                <w:tab w:val="left" w:pos="403"/>
              </w:tabs>
              <w:suppressAutoHyphens/>
              <w:ind w:left="360"/>
              <w:contextualSpacing/>
              <w:rPr>
                <w:rFonts w:ascii="Arial" w:hAnsi="Arial" w:cs="Arial"/>
                <w:bCs/>
                <w:spacing w:val="-2"/>
                <w:sz w:val="18"/>
                <w:szCs w:val="18"/>
              </w:rPr>
            </w:pPr>
          </w:p>
          <w:p w14:paraId="5C64FC6C" w14:textId="77777777" w:rsidR="00C95FB9" w:rsidRPr="00FE1ECD" w:rsidRDefault="00C95FB9" w:rsidP="00D130C3">
            <w:pPr>
              <w:pStyle w:val="ListParagraph"/>
              <w:widowControl w:val="0"/>
              <w:tabs>
                <w:tab w:val="left" w:pos="-1440"/>
                <w:tab w:val="left" w:pos="-720"/>
                <w:tab w:val="left" w:pos="0"/>
                <w:tab w:val="left" w:pos="201"/>
                <w:tab w:val="left" w:pos="403"/>
              </w:tabs>
              <w:suppressAutoHyphens/>
              <w:spacing w:after="120"/>
              <w:contextualSpacing/>
              <w:rPr>
                <w:rFonts w:ascii="Arial" w:hAnsi="Arial" w:cs="Arial"/>
                <w:b/>
                <w:spacing w:val="-2"/>
                <w:sz w:val="18"/>
                <w:szCs w:val="18"/>
              </w:rPr>
            </w:pPr>
          </w:p>
        </w:tc>
      </w:tr>
      <w:tr w:rsidR="00C95FB9" w14:paraId="3C2ACD98" w14:textId="77777777" w:rsidTr="00D130C3">
        <w:trPr>
          <w:trHeight w:val="267"/>
        </w:trPr>
        <w:tc>
          <w:tcPr>
            <w:tcW w:w="2981"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639AD0CD" w14:textId="77777777" w:rsidR="00C95FB9" w:rsidRDefault="00C95FB9" w:rsidP="00D130C3">
            <w:pPr>
              <w:widowControl w:val="0"/>
              <w:tabs>
                <w:tab w:val="left" w:pos="-1440"/>
                <w:tab w:val="left" w:pos="-720"/>
                <w:tab w:val="left" w:pos="0"/>
                <w:tab w:val="left" w:pos="201"/>
                <w:tab w:val="left" w:pos="403"/>
              </w:tabs>
              <w:suppressAutoHyphens/>
              <w:ind w:left="360"/>
              <w:jc w:val="center"/>
              <w:rPr>
                <w:rFonts w:ascii="Arial" w:hAnsi="Arial" w:cs="Arial"/>
                <w:bCs/>
                <w:spacing w:val="-2"/>
                <w:sz w:val="18"/>
                <w:szCs w:val="18"/>
              </w:rPr>
            </w:pPr>
            <w:r>
              <w:rPr>
                <w:rFonts w:ascii="Arial" w:hAnsi="Arial" w:cs="Arial"/>
                <w:bCs/>
                <w:spacing w:val="-2"/>
                <w:sz w:val="18"/>
                <w:szCs w:val="18"/>
              </w:rPr>
              <w:t>Type of Cost</w:t>
            </w:r>
          </w:p>
        </w:tc>
        <w:tc>
          <w:tcPr>
            <w:tcW w:w="1282"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45493F29" w14:textId="77777777" w:rsidR="00C95FB9" w:rsidRDefault="00C95FB9" w:rsidP="00D130C3">
            <w:pPr>
              <w:widowControl w:val="0"/>
              <w:tabs>
                <w:tab w:val="left" w:pos="-1440"/>
                <w:tab w:val="left" w:pos="-720"/>
                <w:tab w:val="left" w:pos="0"/>
                <w:tab w:val="left" w:pos="201"/>
                <w:tab w:val="left" w:pos="403"/>
              </w:tabs>
              <w:suppressAutoHyphens/>
              <w:jc w:val="center"/>
              <w:rPr>
                <w:rFonts w:ascii="Arial" w:hAnsi="Arial" w:cs="Arial"/>
                <w:bCs/>
                <w:spacing w:val="-2"/>
                <w:sz w:val="18"/>
                <w:szCs w:val="18"/>
              </w:rPr>
            </w:pPr>
            <w:r>
              <w:rPr>
                <w:rFonts w:ascii="Arial" w:hAnsi="Arial" w:cs="Arial"/>
                <w:bCs/>
                <w:spacing w:val="-2"/>
                <w:sz w:val="18"/>
                <w:szCs w:val="18"/>
              </w:rPr>
              <w:t>Amount</w:t>
            </w:r>
          </w:p>
        </w:tc>
        <w:tc>
          <w:tcPr>
            <w:tcW w:w="5688"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2608D6F2" w14:textId="77777777" w:rsidR="00C95FB9" w:rsidRDefault="00C95FB9" w:rsidP="00D130C3">
            <w:pPr>
              <w:widowControl w:val="0"/>
              <w:tabs>
                <w:tab w:val="left" w:pos="-1440"/>
                <w:tab w:val="left" w:pos="-720"/>
                <w:tab w:val="left" w:pos="0"/>
                <w:tab w:val="left" w:pos="201"/>
                <w:tab w:val="left" w:pos="403"/>
              </w:tabs>
              <w:suppressAutoHyphens/>
              <w:ind w:left="360"/>
              <w:jc w:val="center"/>
              <w:rPr>
                <w:rFonts w:ascii="Arial" w:hAnsi="Arial" w:cs="Arial"/>
                <w:bCs/>
                <w:spacing w:val="-2"/>
                <w:sz w:val="18"/>
                <w:szCs w:val="18"/>
              </w:rPr>
            </w:pPr>
            <w:r>
              <w:rPr>
                <w:rFonts w:ascii="Arial" w:hAnsi="Arial" w:cs="Arial"/>
                <w:bCs/>
                <w:spacing w:val="-2"/>
                <w:sz w:val="18"/>
                <w:szCs w:val="18"/>
              </w:rPr>
              <w:t>Due</w:t>
            </w:r>
          </w:p>
        </w:tc>
      </w:tr>
      <w:tr w:rsidR="00C95FB9" w14:paraId="099D5D87" w14:textId="77777777" w:rsidTr="00D130C3">
        <w:trPr>
          <w:trHeight w:val="175"/>
        </w:trPr>
        <w:tc>
          <w:tcPr>
            <w:tcW w:w="2981" w:type="dxa"/>
            <w:tcBorders>
              <w:top w:val="single" w:sz="2" w:space="0" w:color="auto"/>
              <w:left w:val="single" w:sz="2" w:space="0" w:color="auto"/>
              <w:bottom w:val="single" w:sz="2" w:space="0" w:color="auto"/>
              <w:right w:val="single" w:sz="2" w:space="0" w:color="auto"/>
            </w:tcBorders>
            <w:vAlign w:val="center"/>
            <w:hideMark/>
          </w:tcPr>
          <w:p w14:paraId="511E053A" w14:textId="77777777" w:rsidR="00C95FB9" w:rsidRDefault="00C95FB9" w:rsidP="00D130C3">
            <w:pPr>
              <w:pStyle w:val="Default"/>
              <w:rPr>
                <w:rFonts w:ascii="Arial" w:hAnsi="Arial" w:cs="Arial"/>
                <w:bCs/>
                <w:sz w:val="18"/>
                <w:szCs w:val="18"/>
              </w:rPr>
            </w:pPr>
            <w:r>
              <w:rPr>
                <w:rFonts w:ascii="Arial" w:hAnsi="Arial" w:cs="Arial"/>
                <w:bCs/>
                <w:sz w:val="18"/>
                <w:szCs w:val="18"/>
              </w:rPr>
              <w:t>Application Cost</w:t>
            </w:r>
          </w:p>
        </w:tc>
        <w:tc>
          <w:tcPr>
            <w:tcW w:w="1282" w:type="dxa"/>
            <w:tcBorders>
              <w:top w:val="single" w:sz="2" w:space="0" w:color="auto"/>
              <w:left w:val="single" w:sz="2" w:space="0" w:color="auto"/>
              <w:bottom w:val="single" w:sz="2" w:space="0" w:color="auto"/>
              <w:right w:val="single" w:sz="2" w:space="0" w:color="auto"/>
            </w:tcBorders>
            <w:vAlign w:val="center"/>
            <w:hideMark/>
          </w:tcPr>
          <w:p w14:paraId="07BB6714" w14:textId="77777777" w:rsidR="00C95FB9" w:rsidRDefault="00C95FB9" w:rsidP="00D130C3">
            <w:pPr>
              <w:pStyle w:val="Default"/>
              <w:rPr>
                <w:rFonts w:ascii="Arial" w:hAnsi="Arial" w:cs="Arial"/>
                <w:bCs/>
                <w:sz w:val="18"/>
                <w:szCs w:val="18"/>
              </w:rPr>
            </w:pPr>
            <w:r>
              <w:rPr>
                <w:rFonts w:ascii="Arial" w:hAnsi="Arial" w:cs="Arial"/>
                <w:bCs/>
                <w:sz w:val="18"/>
                <w:szCs w:val="18"/>
              </w:rPr>
              <w:t>$100</w:t>
            </w:r>
          </w:p>
        </w:tc>
        <w:tc>
          <w:tcPr>
            <w:tcW w:w="5688" w:type="dxa"/>
            <w:tcBorders>
              <w:top w:val="single" w:sz="2" w:space="0" w:color="auto"/>
              <w:left w:val="single" w:sz="2" w:space="0" w:color="auto"/>
              <w:bottom w:val="single" w:sz="2" w:space="0" w:color="auto"/>
              <w:right w:val="single" w:sz="2" w:space="0" w:color="auto"/>
            </w:tcBorders>
            <w:vAlign w:val="center"/>
            <w:hideMark/>
          </w:tcPr>
          <w:p w14:paraId="3B6E180C" w14:textId="77777777" w:rsidR="00C95FB9" w:rsidRDefault="00C95FB9" w:rsidP="00D130C3">
            <w:pPr>
              <w:pStyle w:val="Default"/>
              <w:rPr>
                <w:rFonts w:ascii="Arial" w:hAnsi="Arial" w:cs="Arial"/>
                <w:b/>
                <w:bCs/>
                <w:sz w:val="18"/>
                <w:szCs w:val="18"/>
              </w:rPr>
            </w:pPr>
            <w:r>
              <w:rPr>
                <w:rFonts w:ascii="Arial" w:hAnsi="Arial" w:cs="Arial"/>
                <w:bCs/>
                <w:sz w:val="18"/>
                <w:szCs w:val="18"/>
              </w:rPr>
              <w:t>Must be submitted at the time of the initial application.</w:t>
            </w:r>
          </w:p>
        </w:tc>
      </w:tr>
      <w:tr w:rsidR="00C95FB9" w14:paraId="36ED2917" w14:textId="77777777" w:rsidTr="00D130C3">
        <w:trPr>
          <w:trHeight w:val="148"/>
        </w:trPr>
        <w:tc>
          <w:tcPr>
            <w:tcW w:w="2981" w:type="dxa"/>
            <w:tcBorders>
              <w:top w:val="single" w:sz="2" w:space="0" w:color="auto"/>
              <w:left w:val="single" w:sz="2" w:space="0" w:color="auto"/>
              <w:bottom w:val="single" w:sz="2" w:space="0" w:color="auto"/>
              <w:right w:val="single" w:sz="2" w:space="0" w:color="auto"/>
            </w:tcBorders>
            <w:vAlign w:val="center"/>
            <w:hideMark/>
          </w:tcPr>
          <w:p w14:paraId="7519BD5C" w14:textId="77777777" w:rsidR="00C95FB9" w:rsidRDefault="00C95FB9" w:rsidP="00D130C3">
            <w:pPr>
              <w:pStyle w:val="Default"/>
              <w:rPr>
                <w:rFonts w:ascii="Arial" w:hAnsi="Arial" w:cs="Arial"/>
                <w:bCs/>
                <w:sz w:val="18"/>
                <w:szCs w:val="18"/>
              </w:rPr>
            </w:pPr>
            <w:r>
              <w:rPr>
                <w:rFonts w:ascii="Arial" w:hAnsi="Arial" w:cs="Arial"/>
                <w:bCs/>
                <w:sz w:val="18"/>
                <w:szCs w:val="18"/>
              </w:rPr>
              <w:t>Administration Cost</w:t>
            </w:r>
          </w:p>
        </w:tc>
        <w:tc>
          <w:tcPr>
            <w:tcW w:w="1282" w:type="dxa"/>
            <w:tcBorders>
              <w:top w:val="single" w:sz="2" w:space="0" w:color="auto"/>
              <w:left w:val="single" w:sz="2" w:space="0" w:color="auto"/>
              <w:bottom w:val="single" w:sz="2" w:space="0" w:color="auto"/>
              <w:right w:val="single" w:sz="2" w:space="0" w:color="auto"/>
            </w:tcBorders>
            <w:vAlign w:val="center"/>
            <w:hideMark/>
          </w:tcPr>
          <w:p w14:paraId="778270E6" w14:textId="77777777" w:rsidR="00C95FB9" w:rsidRDefault="00C95FB9" w:rsidP="00D130C3">
            <w:pPr>
              <w:pStyle w:val="Default"/>
              <w:rPr>
                <w:rFonts w:ascii="Arial" w:hAnsi="Arial" w:cs="Arial"/>
                <w:bCs/>
                <w:sz w:val="18"/>
                <w:szCs w:val="18"/>
              </w:rPr>
            </w:pPr>
            <w:r>
              <w:rPr>
                <w:rFonts w:ascii="Arial" w:hAnsi="Arial" w:cs="Arial"/>
                <w:bCs/>
                <w:sz w:val="18"/>
                <w:szCs w:val="18"/>
              </w:rPr>
              <w:t>$100</w:t>
            </w:r>
          </w:p>
        </w:tc>
        <w:tc>
          <w:tcPr>
            <w:tcW w:w="5688" w:type="dxa"/>
            <w:tcBorders>
              <w:top w:val="single" w:sz="2" w:space="0" w:color="auto"/>
              <w:left w:val="single" w:sz="2" w:space="0" w:color="auto"/>
              <w:bottom w:val="single" w:sz="2" w:space="0" w:color="auto"/>
              <w:right w:val="single" w:sz="2" w:space="0" w:color="auto"/>
            </w:tcBorders>
            <w:vAlign w:val="center"/>
            <w:hideMark/>
          </w:tcPr>
          <w:p w14:paraId="623218C5" w14:textId="77777777" w:rsidR="00C95FB9" w:rsidRDefault="00C95FB9" w:rsidP="00D130C3">
            <w:pPr>
              <w:pStyle w:val="Default"/>
              <w:rPr>
                <w:rFonts w:ascii="Arial" w:hAnsi="Arial" w:cs="Arial"/>
                <w:bCs/>
                <w:sz w:val="18"/>
                <w:szCs w:val="18"/>
              </w:rPr>
            </w:pPr>
            <w:r>
              <w:rPr>
                <w:rFonts w:ascii="Arial" w:hAnsi="Arial" w:cs="Arial"/>
                <w:bCs/>
                <w:sz w:val="18"/>
                <w:szCs w:val="18"/>
              </w:rPr>
              <w:t>Payable when the permit is approved. (1-year Authorization)</w:t>
            </w:r>
          </w:p>
        </w:tc>
      </w:tr>
    </w:tbl>
    <w:p w14:paraId="5284CFE8" w14:textId="51938314" w:rsidR="00B743D9" w:rsidRDefault="00B743D9" w:rsidP="00CD1219">
      <w:pPr>
        <w:tabs>
          <w:tab w:val="left" w:pos="6480"/>
        </w:tabs>
        <w:ind w:left="720" w:hanging="720"/>
        <w:jc w:val="center"/>
        <w:rPr>
          <w:rFonts w:ascii="Arial" w:hAnsi="Arial" w:cs="Arial"/>
          <w:sz w:val="18"/>
          <w:szCs w:val="18"/>
        </w:rPr>
      </w:pPr>
    </w:p>
    <w:p w14:paraId="23188097" w14:textId="77777777" w:rsidR="00C95FB9" w:rsidRDefault="00C95FB9" w:rsidP="00CD1219">
      <w:pPr>
        <w:tabs>
          <w:tab w:val="left" w:pos="6480"/>
        </w:tabs>
        <w:ind w:left="720" w:hanging="720"/>
        <w:jc w:val="center"/>
        <w:rPr>
          <w:rFonts w:ascii="Arial" w:hAnsi="Arial" w:cs="Arial"/>
          <w:sz w:val="18"/>
          <w:szCs w:val="18"/>
        </w:rPr>
      </w:pPr>
    </w:p>
    <w:tbl>
      <w:tblPr>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81"/>
        <w:gridCol w:w="1822"/>
        <w:gridCol w:w="5148"/>
      </w:tblGrid>
      <w:tr w:rsidR="00C95FB9" w14:paraId="7327E75E" w14:textId="77777777" w:rsidTr="00D130C3">
        <w:trPr>
          <w:trHeight w:val="726"/>
        </w:trPr>
        <w:tc>
          <w:tcPr>
            <w:tcW w:w="9951"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2BD493CC" w14:textId="77777777" w:rsidR="00C95FB9" w:rsidRDefault="00C95FB9" w:rsidP="00D130C3">
            <w:pPr>
              <w:widowControl w:val="0"/>
              <w:tabs>
                <w:tab w:val="left" w:pos="-1440"/>
                <w:tab w:val="left" w:pos="-720"/>
                <w:tab w:val="left" w:pos="0"/>
                <w:tab w:val="left" w:pos="201"/>
                <w:tab w:val="left" w:pos="403"/>
              </w:tabs>
              <w:suppressAutoHyphens/>
              <w:spacing w:before="120" w:after="120"/>
              <w:jc w:val="center"/>
              <w:rPr>
                <w:rFonts w:ascii="Arial" w:hAnsi="Arial" w:cs="Arial"/>
                <w:bCs/>
                <w:spacing w:val="-2"/>
                <w:sz w:val="18"/>
                <w:szCs w:val="18"/>
              </w:rPr>
            </w:pPr>
            <w:r>
              <w:rPr>
                <w:rFonts w:ascii="Arial" w:hAnsi="Arial" w:cs="Arial"/>
                <w:bCs/>
                <w:spacing w:val="-2"/>
                <w:sz w:val="18"/>
                <w:szCs w:val="18"/>
              </w:rPr>
              <w:t xml:space="preserve">Water Based Activity CUA Approved Services: </w:t>
            </w:r>
          </w:p>
          <w:p w14:paraId="1536D221" w14:textId="77777777" w:rsidR="00C95FB9" w:rsidRDefault="00C95FB9" w:rsidP="00C95FB9">
            <w:pPr>
              <w:pStyle w:val="ListParagraph"/>
              <w:widowControl w:val="0"/>
              <w:numPr>
                <w:ilvl w:val="0"/>
                <w:numId w:val="19"/>
              </w:numPr>
              <w:tabs>
                <w:tab w:val="left" w:pos="-1440"/>
                <w:tab w:val="left" w:pos="-720"/>
                <w:tab w:val="left" w:pos="0"/>
                <w:tab w:val="left" w:pos="201"/>
                <w:tab w:val="left" w:pos="403"/>
              </w:tabs>
              <w:suppressAutoHyphens/>
              <w:spacing w:after="120"/>
              <w:jc w:val="center"/>
              <w:rPr>
                <w:rFonts w:ascii="Arial" w:hAnsi="Arial" w:cs="Arial"/>
                <w:b/>
                <w:spacing w:val="-2"/>
                <w:sz w:val="18"/>
                <w:szCs w:val="18"/>
              </w:rPr>
            </w:pPr>
            <w:r>
              <w:rPr>
                <w:rFonts w:ascii="Arial" w:hAnsi="Arial" w:cs="Arial"/>
                <w:bCs/>
                <w:spacing w:val="-2"/>
                <w:sz w:val="18"/>
                <w:szCs w:val="18"/>
              </w:rPr>
              <w:t>Guided Fishing and Sightseeing via John boat or Drift boat</w:t>
            </w:r>
          </w:p>
        </w:tc>
      </w:tr>
      <w:tr w:rsidR="00C95FB9" w14:paraId="1859A7C8" w14:textId="77777777" w:rsidTr="00D130C3">
        <w:trPr>
          <w:trHeight w:val="204"/>
        </w:trPr>
        <w:tc>
          <w:tcPr>
            <w:tcW w:w="2981"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5CE407DE" w14:textId="77777777" w:rsidR="00C95FB9" w:rsidRDefault="00C95FB9" w:rsidP="00D130C3">
            <w:pPr>
              <w:widowControl w:val="0"/>
              <w:tabs>
                <w:tab w:val="left" w:pos="-1440"/>
                <w:tab w:val="left" w:pos="-720"/>
                <w:tab w:val="left" w:pos="0"/>
                <w:tab w:val="left" w:pos="201"/>
                <w:tab w:val="left" w:pos="403"/>
              </w:tabs>
              <w:suppressAutoHyphens/>
              <w:ind w:left="360"/>
              <w:jc w:val="center"/>
              <w:rPr>
                <w:rFonts w:ascii="Arial" w:hAnsi="Arial" w:cs="Arial"/>
                <w:bCs/>
                <w:spacing w:val="-2"/>
                <w:sz w:val="18"/>
                <w:szCs w:val="18"/>
              </w:rPr>
            </w:pPr>
            <w:r>
              <w:rPr>
                <w:rFonts w:ascii="Arial" w:hAnsi="Arial" w:cs="Arial"/>
                <w:bCs/>
                <w:spacing w:val="-2"/>
                <w:sz w:val="18"/>
                <w:szCs w:val="18"/>
              </w:rPr>
              <w:t>Type of Cost</w:t>
            </w:r>
          </w:p>
        </w:tc>
        <w:tc>
          <w:tcPr>
            <w:tcW w:w="1822"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330EC044" w14:textId="77777777" w:rsidR="00C95FB9" w:rsidRDefault="00C95FB9" w:rsidP="00D130C3">
            <w:pPr>
              <w:widowControl w:val="0"/>
              <w:tabs>
                <w:tab w:val="left" w:pos="-1440"/>
                <w:tab w:val="left" w:pos="-720"/>
                <w:tab w:val="left" w:pos="0"/>
                <w:tab w:val="left" w:pos="201"/>
                <w:tab w:val="left" w:pos="403"/>
              </w:tabs>
              <w:suppressAutoHyphens/>
              <w:jc w:val="center"/>
              <w:rPr>
                <w:rFonts w:ascii="Arial" w:hAnsi="Arial" w:cs="Arial"/>
                <w:bCs/>
                <w:spacing w:val="-2"/>
                <w:sz w:val="18"/>
                <w:szCs w:val="18"/>
              </w:rPr>
            </w:pPr>
            <w:r>
              <w:rPr>
                <w:rFonts w:ascii="Arial" w:hAnsi="Arial" w:cs="Arial"/>
                <w:bCs/>
                <w:spacing w:val="-2"/>
                <w:sz w:val="18"/>
                <w:szCs w:val="18"/>
              </w:rPr>
              <w:t>Amount</w:t>
            </w:r>
          </w:p>
        </w:tc>
        <w:tc>
          <w:tcPr>
            <w:tcW w:w="5148"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57F2CAC4" w14:textId="77777777" w:rsidR="00C95FB9" w:rsidRDefault="00C95FB9" w:rsidP="00D130C3">
            <w:pPr>
              <w:widowControl w:val="0"/>
              <w:tabs>
                <w:tab w:val="left" w:pos="-1440"/>
                <w:tab w:val="left" w:pos="-720"/>
                <w:tab w:val="left" w:pos="0"/>
                <w:tab w:val="left" w:pos="201"/>
                <w:tab w:val="left" w:pos="403"/>
              </w:tabs>
              <w:suppressAutoHyphens/>
              <w:ind w:left="360"/>
              <w:jc w:val="center"/>
              <w:rPr>
                <w:rFonts w:ascii="Arial" w:hAnsi="Arial" w:cs="Arial"/>
                <w:bCs/>
                <w:spacing w:val="-2"/>
                <w:sz w:val="18"/>
                <w:szCs w:val="18"/>
              </w:rPr>
            </w:pPr>
            <w:r>
              <w:rPr>
                <w:rFonts w:ascii="Arial" w:hAnsi="Arial" w:cs="Arial"/>
                <w:bCs/>
                <w:spacing w:val="-2"/>
                <w:sz w:val="18"/>
                <w:szCs w:val="18"/>
              </w:rPr>
              <w:t>Due</w:t>
            </w:r>
          </w:p>
        </w:tc>
      </w:tr>
      <w:tr w:rsidR="00C95FB9" w14:paraId="648C5468" w14:textId="77777777" w:rsidTr="00D130C3">
        <w:trPr>
          <w:trHeight w:val="175"/>
        </w:trPr>
        <w:tc>
          <w:tcPr>
            <w:tcW w:w="2981" w:type="dxa"/>
            <w:tcBorders>
              <w:top w:val="single" w:sz="2" w:space="0" w:color="auto"/>
              <w:left w:val="single" w:sz="2" w:space="0" w:color="auto"/>
              <w:bottom w:val="single" w:sz="2" w:space="0" w:color="auto"/>
              <w:right w:val="single" w:sz="2" w:space="0" w:color="auto"/>
            </w:tcBorders>
            <w:vAlign w:val="center"/>
            <w:hideMark/>
          </w:tcPr>
          <w:p w14:paraId="428670AF" w14:textId="77777777" w:rsidR="00C95FB9" w:rsidRDefault="00C95FB9" w:rsidP="00D130C3">
            <w:pPr>
              <w:pStyle w:val="Default"/>
              <w:rPr>
                <w:rFonts w:ascii="Arial" w:hAnsi="Arial" w:cs="Arial"/>
                <w:bCs/>
                <w:sz w:val="18"/>
                <w:szCs w:val="18"/>
              </w:rPr>
            </w:pPr>
            <w:r>
              <w:rPr>
                <w:rFonts w:ascii="Arial" w:hAnsi="Arial" w:cs="Arial"/>
                <w:bCs/>
                <w:sz w:val="18"/>
                <w:szCs w:val="18"/>
              </w:rPr>
              <w:t>Application Cost</w:t>
            </w:r>
          </w:p>
        </w:tc>
        <w:tc>
          <w:tcPr>
            <w:tcW w:w="1822" w:type="dxa"/>
            <w:tcBorders>
              <w:top w:val="single" w:sz="2" w:space="0" w:color="auto"/>
              <w:left w:val="single" w:sz="2" w:space="0" w:color="auto"/>
              <w:bottom w:val="single" w:sz="2" w:space="0" w:color="auto"/>
              <w:right w:val="single" w:sz="2" w:space="0" w:color="auto"/>
            </w:tcBorders>
            <w:vAlign w:val="center"/>
            <w:hideMark/>
          </w:tcPr>
          <w:p w14:paraId="3A9DB8ED" w14:textId="77777777" w:rsidR="00C95FB9" w:rsidRDefault="00C95FB9" w:rsidP="00D130C3">
            <w:pPr>
              <w:pStyle w:val="Default"/>
              <w:rPr>
                <w:rFonts w:ascii="Arial" w:hAnsi="Arial" w:cs="Arial"/>
                <w:sz w:val="18"/>
                <w:szCs w:val="18"/>
              </w:rPr>
            </w:pPr>
            <w:r>
              <w:rPr>
                <w:rFonts w:ascii="Arial" w:hAnsi="Arial" w:cs="Arial"/>
                <w:sz w:val="18"/>
                <w:szCs w:val="18"/>
              </w:rPr>
              <w:t xml:space="preserve">$100                                                                </w:t>
            </w:r>
          </w:p>
        </w:tc>
        <w:tc>
          <w:tcPr>
            <w:tcW w:w="5148" w:type="dxa"/>
            <w:tcBorders>
              <w:top w:val="single" w:sz="2" w:space="0" w:color="auto"/>
              <w:left w:val="single" w:sz="2" w:space="0" w:color="auto"/>
              <w:bottom w:val="single" w:sz="2" w:space="0" w:color="auto"/>
              <w:right w:val="single" w:sz="2" w:space="0" w:color="auto"/>
            </w:tcBorders>
            <w:vAlign w:val="center"/>
            <w:hideMark/>
          </w:tcPr>
          <w:p w14:paraId="4FCC1D49" w14:textId="77777777" w:rsidR="00C95FB9" w:rsidRDefault="00C95FB9" w:rsidP="00D130C3">
            <w:pPr>
              <w:pStyle w:val="Default"/>
              <w:rPr>
                <w:rFonts w:ascii="Arial" w:hAnsi="Arial" w:cs="Arial"/>
                <w:b/>
                <w:bCs/>
                <w:sz w:val="18"/>
                <w:szCs w:val="18"/>
              </w:rPr>
            </w:pPr>
            <w:r>
              <w:rPr>
                <w:rFonts w:ascii="Arial" w:hAnsi="Arial" w:cs="Arial"/>
                <w:bCs/>
                <w:sz w:val="18"/>
                <w:szCs w:val="18"/>
              </w:rPr>
              <w:t>Must be submitted at the time of the initial application.</w:t>
            </w:r>
          </w:p>
        </w:tc>
      </w:tr>
      <w:tr w:rsidR="00C95FB9" w14:paraId="42BD07D8" w14:textId="77777777" w:rsidTr="00D130C3">
        <w:trPr>
          <w:trHeight w:val="175"/>
        </w:trPr>
        <w:tc>
          <w:tcPr>
            <w:tcW w:w="2981" w:type="dxa"/>
            <w:tcBorders>
              <w:top w:val="single" w:sz="2" w:space="0" w:color="auto"/>
              <w:left w:val="single" w:sz="2" w:space="0" w:color="auto"/>
              <w:bottom w:val="single" w:sz="2" w:space="0" w:color="auto"/>
              <w:right w:val="single" w:sz="2" w:space="0" w:color="auto"/>
            </w:tcBorders>
            <w:vAlign w:val="center"/>
            <w:hideMark/>
          </w:tcPr>
          <w:p w14:paraId="768F0048" w14:textId="77777777" w:rsidR="00C95FB9" w:rsidRDefault="00C95FB9" w:rsidP="00D130C3">
            <w:pPr>
              <w:pStyle w:val="Default"/>
              <w:rPr>
                <w:rFonts w:ascii="Arial" w:hAnsi="Arial" w:cs="Arial"/>
                <w:bCs/>
                <w:sz w:val="18"/>
                <w:szCs w:val="18"/>
              </w:rPr>
            </w:pPr>
            <w:r>
              <w:rPr>
                <w:rFonts w:ascii="Arial" w:hAnsi="Arial" w:cs="Arial"/>
                <w:bCs/>
                <w:sz w:val="18"/>
                <w:szCs w:val="18"/>
              </w:rPr>
              <w:t>Administration Cost</w:t>
            </w:r>
          </w:p>
        </w:tc>
        <w:tc>
          <w:tcPr>
            <w:tcW w:w="1822" w:type="dxa"/>
            <w:tcBorders>
              <w:top w:val="single" w:sz="2" w:space="0" w:color="auto"/>
              <w:left w:val="single" w:sz="2" w:space="0" w:color="auto"/>
              <w:bottom w:val="single" w:sz="2" w:space="0" w:color="auto"/>
              <w:right w:val="single" w:sz="2" w:space="0" w:color="auto"/>
            </w:tcBorders>
            <w:vAlign w:val="center"/>
            <w:hideMark/>
          </w:tcPr>
          <w:p w14:paraId="670AB693" w14:textId="77777777" w:rsidR="00C95FB9" w:rsidRDefault="00C95FB9" w:rsidP="00D130C3">
            <w:pPr>
              <w:pStyle w:val="Default"/>
              <w:rPr>
                <w:rFonts w:ascii="Arial" w:hAnsi="Arial" w:cs="Arial"/>
                <w:sz w:val="18"/>
                <w:szCs w:val="18"/>
              </w:rPr>
            </w:pPr>
            <w:r>
              <w:rPr>
                <w:rFonts w:ascii="Arial" w:hAnsi="Arial" w:cs="Arial"/>
                <w:sz w:val="18"/>
                <w:szCs w:val="18"/>
              </w:rPr>
              <w:t>$300</w:t>
            </w:r>
          </w:p>
        </w:tc>
        <w:tc>
          <w:tcPr>
            <w:tcW w:w="5148" w:type="dxa"/>
            <w:tcBorders>
              <w:top w:val="single" w:sz="2" w:space="0" w:color="auto"/>
              <w:left w:val="single" w:sz="2" w:space="0" w:color="auto"/>
              <w:bottom w:val="single" w:sz="2" w:space="0" w:color="auto"/>
              <w:right w:val="single" w:sz="2" w:space="0" w:color="auto"/>
            </w:tcBorders>
            <w:vAlign w:val="center"/>
            <w:hideMark/>
          </w:tcPr>
          <w:p w14:paraId="210B1F50" w14:textId="77777777" w:rsidR="00C95FB9" w:rsidRDefault="00C95FB9" w:rsidP="00D130C3">
            <w:pPr>
              <w:pStyle w:val="Default"/>
              <w:rPr>
                <w:rFonts w:ascii="Arial" w:hAnsi="Arial" w:cs="Arial"/>
                <w:bCs/>
                <w:sz w:val="18"/>
                <w:szCs w:val="18"/>
              </w:rPr>
            </w:pPr>
            <w:r>
              <w:rPr>
                <w:rFonts w:ascii="Arial" w:hAnsi="Arial" w:cs="Arial"/>
                <w:bCs/>
                <w:sz w:val="18"/>
                <w:szCs w:val="18"/>
              </w:rPr>
              <w:t>Payable when the permit is approved. (2-year Authorization)</w:t>
            </w:r>
          </w:p>
        </w:tc>
      </w:tr>
      <w:tr w:rsidR="00C95FB9" w14:paraId="4D17A55C" w14:textId="77777777" w:rsidTr="00D130C3">
        <w:trPr>
          <w:trHeight w:val="175"/>
        </w:trPr>
        <w:tc>
          <w:tcPr>
            <w:tcW w:w="2981" w:type="dxa"/>
            <w:tcBorders>
              <w:top w:val="single" w:sz="2" w:space="0" w:color="auto"/>
              <w:left w:val="single" w:sz="2" w:space="0" w:color="auto"/>
              <w:bottom w:val="single" w:sz="2" w:space="0" w:color="auto"/>
              <w:right w:val="single" w:sz="2" w:space="0" w:color="auto"/>
            </w:tcBorders>
            <w:vAlign w:val="center"/>
            <w:hideMark/>
          </w:tcPr>
          <w:p w14:paraId="68E2C3C1" w14:textId="77777777" w:rsidR="00C95FB9" w:rsidRDefault="00C95FB9" w:rsidP="00D130C3">
            <w:pPr>
              <w:pStyle w:val="Default"/>
              <w:rPr>
                <w:rFonts w:ascii="Arial" w:hAnsi="Arial" w:cs="Arial"/>
                <w:bCs/>
                <w:sz w:val="18"/>
                <w:szCs w:val="18"/>
              </w:rPr>
            </w:pPr>
            <w:r>
              <w:rPr>
                <w:rFonts w:ascii="Arial" w:hAnsi="Arial" w:cs="Arial"/>
                <w:bCs/>
                <w:sz w:val="18"/>
                <w:szCs w:val="18"/>
              </w:rPr>
              <w:t>Commercial Use Boat Decal Fee</w:t>
            </w:r>
          </w:p>
        </w:tc>
        <w:tc>
          <w:tcPr>
            <w:tcW w:w="1822" w:type="dxa"/>
            <w:tcBorders>
              <w:top w:val="single" w:sz="2" w:space="0" w:color="auto"/>
              <w:left w:val="single" w:sz="2" w:space="0" w:color="auto"/>
              <w:bottom w:val="single" w:sz="2" w:space="0" w:color="auto"/>
              <w:right w:val="single" w:sz="2" w:space="0" w:color="auto"/>
            </w:tcBorders>
            <w:vAlign w:val="center"/>
            <w:hideMark/>
          </w:tcPr>
          <w:p w14:paraId="5E7CBE98" w14:textId="77777777" w:rsidR="00C95FB9" w:rsidRDefault="00C95FB9" w:rsidP="00D130C3">
            <w:pPr>
              <w:pStyle w:val="Default"/>
              <w:rPr>
                <w:rFonts w:ascii="Arial" w:hAnsi="Arial" w:cs="Arial"/>
                <w:sz w:val="18"/>
                <w:szCs w:val="18"/>
              </w:rPr>
            </w:pPr>
            <w:r>
              <w:rPr>
                <w:rFonts w:ascii="Arial" w:hAnsi="Arial" w:cs="Arial"/>
                <w:sz w:val="18"/>
                <w:szCs w:val="18"/>
              </w:rPr>
              <w:t>$9 per vessel</w:t>
            </w:r>
          </w:p>
        </w:tc>
        <w:tc>
          <w:tcPr>
            <w:tcW w:w="5148" w:type="dxa"/>
            <w:tcBorders>
              <w:top w:val="single" w:sz="2" w:space="0" w:color="auto"/>
              <w:left w:val="single" w:sz="2" w:space="0" w:color="auto"/>
              <w:bottom w:val="single" w:sz="2" w:space="0" w:color="auto"/>
              <w:right w:val="single" w:sz="2" w:space="0" w:color="auto"/>
            </w:tcBorders>
            <w:vAlign w:val="center"/>
            <w:hideMark/>
          </w:tcPr>
          <w:p w14:paraId="72A8B43E" w14:textId="77777777" w:rsidR="00C95FB9" w:rsidRDefault="00C95FB9" w:rsidP="00D130C3">
            <w:pPr>
              <w:pStyle w:val="Default"/>
              <w:rPr>
                <w:rFonts w:ascii="Arial" w:hAnsi="Arial" w:cs="Arial"/>
                <w:bCs/>
                <w:sz w:val="18"/>
                <w:szCs w:val="18"/>
              </w:rPr>
            </w:pPr>
            <w:r>
              <w:rPr>
                <w:rFonts w:ascii="Arial" w:hAnsi="Arial" w:cs="Arial"/>
                <w:bCs/>
                <w:sz w:val="18"/>
                <w:szCs w:val="18"/>
              </w:rPr>
              <w:t>Payable when the permit is approved.</w:t>
            </w:r>
          </w:p>
        </w:tc>
      </w:tr>
    </w:tbl>
    <w:p w14:paraId="29D79269" w14:textId="4AD65EFA" w:rsidR="00C95FB9" w:rsidRDefault="00C95FB9" w:rsidP="00CD1219">
      <w:pPr>
        <w:tabs>
          <w:tab w:val="left" w:pos="6480"/>
        </w:tabs>
        <w:ind w:left="720" w:hanging="720"/>
        <w:jc w:val="center"/>
        <w:rPr>
          <w:rFonts w:ascii="Arial" w:hAnsi="Arial" w:cs="Arial"/>
          <w:sz w:val="18"/>
          <w:szCs w:val="18"/>
        </w:rPr>
      </w:pPr>
    </w:p>
    <w:p w14:paraId="1D066BF2" w14:textId="57CAFE1A" w:rsidR="00C95FB9" w:rsidRDefault="00C95FB9" w:rsidP="00CD1219">
      <w:pPr>
        <w:tabs>
          <w:tab w:val="left" w:pos="6480"/>
        </w:tabs>
        <w:ind w:left="720" w:hanging="720"/>
        <w:jc w:val="center"/>
        <w:rPr>
          <w:rFonts w:ascii="Arial" w:hAnsi="Arial" w:cs="Arial"/>
          <w:sz w:val="18"/>
          <w:szCs w:val="18"/>
        </w:rPr>
      </w:pPr>
    </w:p>
    <w:p w14:paraId="57DFF07B" w14:textId="77777777" w:rsidR="00C95FB9" w:rsidRDefault="00C95FB9" w:rsidP="00C95FB9">
      <w:pPr>
        <w:jc w:val="center"/>
        <w:rPr>
          <w:rFonts w:ascii="Arial" w:hAnsi="Arial" w:cs="Arial"/>
          <w:b/>
          <w:color w:val="000000"/>
          <w:sz w:val="18"/>
          <w:szCs w:val="18"/>
          <w:u w:val="single"/>
        </w:rPr>
      </w:pPr>
      <w:r>
        <w:rPr>
          <w:rFonts w:ascii="Arial" w:hAnsi="Arial" w:cs="Arial"/>
          <w:b/>
          <w:color w:val="000000"/>
          <w:sz w:val="18"/>
          <w:szCs w:val="18"/>
          <w:u w:val="single"/>
        </w:rPr>
        <w:t>Required Documentation:</w:t>
      </w:r>
    </w:p>
    <w:p w14:paraId="45198D0E" w14:textId="77777777" w:rsidR="00C95FB9" w:rsidRDefault="00C95FB9" w:rsidP="00C95FB9">
      <w:pPr>
        <w:jc w:val="center"/>
        <w:rPr>
          <w:rFonts w:ascii="Arial" w:hAnsi="Arial" w:cs="Arial"/>
          <w:bCs/>
          <w:color w:val="000000"/>
          <w:sz w:val="18"/>
          <w:szCs w:val="18"/>
          <w:u w:val="single"/>
        </w:rPr>
      </w:pPr>
    </w:p>
    <w:p w14:paraId="00451AEC" w14:textId="77777777" w:rsidR="00C95FB9" w:rsidRDefault="00C95FB9" w:rsidP="00C95FB9">
      <w:pPr>
        <w:ind w:firstLine="540"/>
        <w:rPr>
          <w:rFonts w:ascii="Arial" w:hAnsi="Arial" w:cs="Arial"/>
          <w:b/>
          <w:color w:val="000000"/>
          <w:sz w:val="18"/>
          <w:szCs w:val="18"/>
          <w:u w:val="single"/>
        </w:rPr>
      </w:pPr>
      <w:r>
        <w:rPr>
          <w:rFonts w:ascii="Arial" w:hAnsi="Arial" w:cs="Arial"/>
          <w:bCs/>
          <w:color w:val="000000"/>
          <w:sz w:val="18"/>
          <w:szCs w:val="18"/>
        </w:rPr>
        <w:t>The following must be on file in the Commercial Services Office before operating.</w:t>
      </w:r>
    </w:p>
    <w:p w14:paraId="76267220" w14:textId="77777777" w:rsidR="00C95FB9" w:rsidRDefault="00C95FB9" w:rsidP="00C95FB9">
      <w:pPr>
        <w:rPr>
          <w:rFonts w:ascii="Arial" w:hAnsi="Arial" w:cs="Arial"/>
          <w:color w:val="000000"/>
          <w:sz w:val="18"/>
          <w:szCs w:val="18"/>
        </w:rPr>
      </w:pPr>
    </w:p>
    <w:p w14:paraId="3BF51DC7" w14:textId="77777777" w:rsidR="00C95FB9" w:rsidRDefault="00C95FB9" w:rsidP="00C95FB9">
      <w:pPr>
        <w:pStyle w:val="ListParagraph"/>
        <w:numPr>
          <w:ilvl w:val="0"/>
          <w:numId w:val="20"/>
        </w:numPr>
        <w:tabs>
          <w:tab w:val="left" w:pos="1350"/>
        </w:tabs>
        <w:contextualSpacing/>
        <w:rPr>
          <w:rFonts w:ascii="Arial" w:hAnsi="Arial" w:cs="Arial"/>
          <w:i/>
          <w:color w:val="000000"/>
          <w:sz w:val="18"/>
          <w:szCs w:val="18"/>
        </w:rPr>
      </w:pPr>
      <w:r>
        <w:rPr>
          <w:rFonts w:ascii="Arial" w:hAnsi="Arial" w:cs="Arial"/>
          <w:color w:val="000000"/>
          <w:sz w:val="18"/>
          <w:szCs w:val="18"/>
        </w:rPr>
        <w:t>____ Copy of valid Guide Fishing License for all registered Guides (</w:t>
      </w:r>
      <w:r>
        <w:rPr>
          <w:rFonts w:ascii="Arial" w:hAnsi="Arial" w:cs="Arial"/>
          <w:i/>
          <w:color w:val="000000"/>
          <w:sz w:val="18"/>
          <w:szCs w:val="18"/>
        </w:rPr>
        <w:t xml:space="preserve">Required only for Guided Fishing/Sightseeing via boat) </w:t>
      </w:r>
    </w:p>
    <w:p w14:paraId="45842F96" w14:textId="77777777" w:rsidR="00C95FB9" w:rsidRDefault="00C95FB9" w:rsidP="00C95FB9">
      <w:pPr>
        <w:pStyle w:val="ListParagraph"/>
        <w:rPr>
          <w:rFonts w:ascii="Arial" w:hAnsi="Arial" w:cs="Arial"/>
          <w:i/>
          <w:color w:val="000000"/>
          <w:sz w:val="18"/>
          <w:szCs w:val="18"/>
        </w:rPr>
      </w:pPr>
    </w:p>
    <w:p w14:paraId="7B227497" w14:textId="77777777" w:rsidR="00C95FB9" w:rsidRDefault="00C95FB9" w:rsidP="00C95FB9">
      <w:pPr>
        <w:pStyle w:val="ListParagraph"/>
        <w:numPr>
          <w:ilvl w:val="0"/>
          <w:numId w:val="20"/>
        </w:numPr>
        <w:tabs>
          <w:tab w:val="left" w:pos="1350"/>
        </w:tabs>
        <w:contextualSpacing/>
        <w:rPr>
          <w:rFonts w:ascii="Arial" w:hAnsi="Arial" w:cs="Arial"/>
          <w:i/>
          <w:color w:val="000000"/>
          <w:sz w:val="18"/>
          <w:szCs w:val="18"/>
        </w:rPr>
      </w:pPr>
      <w:r>
        <w:rPr>
          <w:rFonts w:ascii="Arial" w:hAnsi="Arial" w:cs="Arial"/>
          <w:color w:val="000000"/>
          <w:sz w:val="18"/>
          <w:szCs w:val="18"/>
        </w:rPr>
        <w:t>____ Copy of valid Registration for each boat (</w:t>
      </w:r>
      <w:r>
        <w:rPr>
          <w:rFonts w:ascii="Arial" w:hAnsi="Arial" w:cs="Arial"/>
          <w:i/>
          <w:color w:val="000000"/>
          <w:sz w:val="18"/>
          <w:szCs w:val="18"/>
        </w:rPr>
        <w:t>Required only for Guided Fishing/Sightseeing via boat</w:t>
      </w:r>
      <w:r>
        <w:rPr>
          <w:rFonts w:ascii="Arial" w:hAnsi="Arial" w:cs="Arial"/>
          <w:color w:val="000000"/>
          <w:sz w:val="18"/>
          <w:szCs w:val="18"/>
        </w:rPr>
        <w:t>)</w:t>
      </w:r>
    </w:p>
    <w:p w14:paraId="73DFC2A8" w14:textId="77777777" w:rsidR="00C95FB9" w:rsidRDefault="00C95FB9" w:rsidP="00C95FB9">
      <w:pPr>
        <w:pStyle w:val="ListParagraph"/>
        <w:rPr>
          <w:rFonts w:ascii="Arial" w:hAnsi="Arial" w:cs="Arial"/>
          <w:i/>
          <w:color w:val="000000"/>
          <w:sz w:val="18"/>
          <w:szCs w:val="18"/>
        </w:rPr>
      </w:pPr>
    </w:p>
    <w:p w14:paraId="6A3BA655" w14:textId="77777777" w:rsidR="00C95FB9" w:rsidRDefault="00C95FB9" w:rsidP="00C95FB9">
      <w:pPr>
        <w:pStyle w:val="ListParagraph"/>
        <w:numPr>
          <w:ilvl w:val="0"/>
          <w:numId w:val="20"/>
        </w:numPr>
        <w:tabs>
          <w:tab w:val="left" w:pos="1350"/>
        </w:tabs>
        <w:contextualSpacing/>
        <w:rPr>
          <w:rFonts w:ascii="Arial" w:hAnsi="Arial" w:cs="Arial"/>
          <w:i/>
          <w:color w:val="000000"/>
          <w:sz w:val="18"/>
          <w:szCs w:val="18"/>
        </w:rPr>
      </w:pPr>
      <w:r>
        <w:rPr>
          <w:rFonts w:ascii="Arial" w:hAnsi="Arial" w:cs="Arial"/>
          <w:color w:val="000000"/>
          <w:sz w:val="18"/>
          <w:szCs w:val="18"/>
        </w:rPr>
        <w:t xml:space="preserve">____ Employee List providing the names and position titles of all persons associated with the CUA.  Please include </w:t>
      </w:r>
      <w:proofErr w:type="gramStart"/>
      <w:r>
        <w:rPr>
          <w:rFonts w:ascii="Arial" w:hAnsi="Arial" w:cs="Arial"/>
          <w:color w:val="000000"/>
          <w:sz w:val="18"/>
          <w:szCs w:val="18"/>
        </w:rPr>
        <w:t>those</w:t>
      </w:r>
      <w:proofErr w:type="gramEnd"/>
      <w:r>
        <w:rPr>
          <w:rFonts w:ascii="Arial" w:hAnsi="Arial" w:cs="Arial"/>
          <w:color w:val="000000"/>
          <w:sz w:val="18"/>
          <w:szCs w:val="18"/>
        </w:rPr>
        <w:t xml:space="preserve">    </w:t>
      </w:r>
    </w:p>
    <w:p w14:paraId="0D68FC19" w14:textId="77777777" w:rsidR="00C95FB9" w:rsidRDefault="00C95FB9" w:rsidP="00C95FB9">
      <w:pPr>
        <w:tabs>
          <w:tab w:val="left" w:pos="1350"/>
        </w:tabs>
        <w:rPr>
          <w:rFonts w:ascii="Arial" w:hAnsi="Arial" w:cs="Arial"/>
          <w:i/>
          <w:color w:val="000000"/>
          <w:sz w:val="18"/>
          <w:szCs w:val="18"/>
        </w:rPr>
      </w:pPr>
      <w:r>
        <w:rPr>
          <w:rFonts w:ascii="Arial" w:hAnsi="Arial" w:cs="Arial"/>
          <w:color w:val="000000"/>
          <w:sz w:val="18"/>
          <w:szCs w:val="18"/>
        </w:rPr>
        <w:t xml:space="preserve">                           who may only work intermediately or on an as needed basis. (</w:t>
      </w:r>
      <w:r>
        <w:rPr>
          <w:rFonts w:ascii="Arial" w:hAnsi="Arial" w:cs="Arial"/>
          <w:i/>
          <w:color w:val="000000"/>
          <w:sz w:val="18"/>
          <w:szCs w:val="18"/>
        </w:rPr>
        <w:t>Required for all CUAs)</w:t>
      </w:r>
    </w:p>
    <w:p w14:paraId="0F9C102B" w14:textId="77777777" w:rsidR="00C95FB9" w:rsidRDefault="00C95FB9" w:rsidP="00C95FB9">
      <w:pPr>
        <w:tabs>
          <w:tab w:val="left" w:pos="1350"/>
        </w:tabs>
        <w:rPr>
          <w:rFonts w:ascii="Arial" w:hAnsi="Arial" w:cs="Arial"/>
          <w:i/>
          <w:color w:val="000000"/>
          <w:sz w:val="18"/>
          <w:szCs w:val="18"/>
        </w:rPr>
      </w:pPr>
    </w:p>
    <w:p w14:paraId="7125073A" w14:textId="77777777" w:rsidR="00C95FB9" w:rsidRDefault="00C95FB9" w:rsidP="00C95FB9">
      <w:pPr>
        <w:pStyle w:val="ListParagraph"/>
        <w:numPr>
          <w:ilvl w:val="0"/>
          <w:numId w:val="20"/>
        </w:numPr>
        <w:tabs>
          <w:tab w:val="left" w:pos="1350"/>
        </w:tabs>
        <w:contextualSpacing/>
        <w:rPr>
          <w:rFonts w:ascii="Arial" w:hAnsi="Arial" w:cs="Arial"/>
          <w:color w:val="000000"/>
          <w:sz w:val="18"/>
          <w:szCs w:val="18"/>
        </w:rPr>
      </w:pPr>
      <w:r>
        <w:rPr>
          <w:rFonts w:ascii="Arial" w:hAnsi="Arial" w:cs="Arial"/>
          <w:color w:val="000000"/>
          <w:sz w:val="18"/>
          <w:szCs w:val="18"/>
        </w:rPr>
        <w:t>____ Operating Plan (</w:t>
      </w:r>
      <w:r>
        <w:rPr>
          <w:rFonts w:ascii="Arial" w:hAnsi="Arial" w:cs="Arial"/>
          <w:i/>
          <w:color w:val="000000"/>
          <w:sz w:val="18"/>
          <w:szCs w:val="18"/>
        </w:rPr>
        <w:t>Required for all CUAs)</w:t>
      </w:r>
    </w:p>
    <w:p w14:paraId="34933275" w14:textId="77777777" w:rsidR="00C95FB9" w:rsidRDefault="00C95FB9" w:rsidP="00C95FB9">
      <w:pPr>
        <w:pStyle w:val="Default"/>
        <w:tabs>
          <w:tab w:val="left" w:pos="1350"/>
          <w:tab w:val="left" w:pos="1440"/>
        </w:tabs>
        <w:ind w:left="1350"/>
        <w:rPr>
          <w:rFonts w:ascii="Frutiger LT Std 45 Light" w:hAnsi="Frutiger LT Std 45 Light"/>
          <w:sz w:val="20"/>
          <w:szCs w:val="20"/>
        </w:rPr>
      </w:pPr>
      <w:r>
        <w:rPr>
          <w:rFonts w:ascii="Arial" w:hAnsi="Arial" w:cs="Arial"/>
          <w:sz w:val="18"/>
          <w:szCs w:val="18"/>
        </w:rPr>
        <w:t>Your Operating Plan should include a summary of the operations you plan to conduct, guide      qualifications/certifications, safety plan of action you will implement in the event of accident or injury, and any methods that will be utilized to prevent pollution and to reduce waste. Make sure to include a sample of a typical trip plan/itinerary for the activity type you are applying for. The operating plan is reviewed and accepted by the NPS. The operating plan will be kept on file and will become part of the record regarding the performance of the Authorization.  However, it is a separate document and will not become part of the Authorization. For your convenience, a sample one-page operating plan is available upon request.</w:t>
      </w:r>
    </w:p>
    <w:p w14:paraId="0E038C0C" w14:textId="77777777" w:rsidR="00C95FB9" w:rsidRDefault="00C95FB9" w:rsidP="00C95FB9">
      <w:pPr>
        <w:pStyle w:val="NormalWeb"/>
        <w:spacing w:before="0" w:beforeAutospacing="0" w:after="0" w:afterAutospacing="0"/>
        <w:rPr>
          <w:rFonts w:ascii="Arial" w:hAnsi="Arial" w:cs="Arial"/>
          <w:i/>
          <w:sz w:val="18"/>
          <w:szCs w:val="18"/>
        </w:rPr>
      </w:pPr>
    </w:p>
    <w:p w14:paraId="39205E29" w14:textId="77777777" w:rsidR="00C95FB9" w:rsidRDefault="00C95FB9" w:rsidP="00C95FB9">
      <w:pPr>
        <w:pStyle w:val="ListParagraph"/>
        <w:numPr>
          <w:ilvl w:val="0"/>
          <w:numId w:val="20"/>
        </w:numPr>
        <w:tabs>
          <w:tab w:val="left" w:pos="1350"/>
        </w:tabs>
        <w:contextualSpacing/>
        <w:rPr>
          <w:rFonts w:ascii="Arial" w:hAnsi="Arial" w:cs="Arial"/>
          <w:i/>
          <w:color w:val="000000"/>
          <w:sz w:val="18"/>
          <w:szCs w:val="18"/>
        </w:rPr>
      </w:pPr>
      <w:r>
        <w:rPr>
          <w:rFonts w:ascii="Arial" w:hAnsi="Arial" w:cs="Arial"/>
          <w:color w:val="000000"/>
          <w:sz w:val="18"/>
          <w:szCs w:val="18"/>
        </w:rPr>
        <w:t>____ Guided Fishing/Sightseeing via boat CUAs only:</w:t>
      </w:r>
    </w:p>
    <w:p w14:paraId="29C90E68" w14:textId="77777777" w:rsidR="00C95FB9" w:rsidRDefault="00C95FB9" w:rsidP="00C95FB9">
      <w:pPr>
        <w:tabs>
          <w:tab w:val="left" w:pos="1350"/>
        </w:tabs>
        <w:ind w:left="1350"/>
        <w:contextualSpacing/>
        <w:rPr>
          <w:rFonts w:ascii="Arial" w:hAnsi="Arial" w:cs="Arial"/>
          <w:color w:val="000000"/>
          <w:sz w:val="18"/>
          <w:szCs w:val="18"/>
        </w:rPr>
      </w:pPr>
      <w:r>
        <w:rPr>
          <w:rFonts w:ascii="Arial" w:hAnsi="Arial" w:cs="Arial"/>
          <w:color w:val="000000"/>
          <w:sz w:val="18"/>
          <w:szCs w:val="18"/>
        </w:rPr>
        <w:t xml:space="preserve">Each boat authorized under the permit must be stickered with the appropriate NPS decal. Commissary boats; however, are exempt from the decal requirements. A maximum of ten (10) decals may be purchased. This may include up to five (5) portable (transferrable) decals. You will be asked how many </w:t>
      </w:r>
      <w:r>
        <w:rPr>
          <w:rFonts w:ascii="Arial" w:hAnsi="Arial" w:cs="Arial"/>
          <w:sz w:val="18"/>
          <w:szCs w:val="18"/>
        </w:rPr>
        <w:t xml:space="preserve">decals will be affixed (stickered) to boats and how portable (transferrable) decals </w:t>
      </w:r>
      <w:r>
        <w:rPr>
          <w:rFonts w:ascii="Arial" w:hAnsi="Arial" w:cs="Arial"/>
          <w:color w:val="000000"/>
          <w:sz w:val="18"/>
          <w:szCs w:val="18"/>
        </w:rPr>
        <w:t>you would like.</w:t>
      </w:r>
    </w:p>
    <w:p w14:paraId="213A7883" w14:textId="77777777" w:rsidR="00C95FB9" w:rsidRPr="00C708F0" w:rsidRDefault="00C95FB9" w:rsidP="00C95FB9">
      <w:pPr>
        <w:tabs>
          <w:tab w:val="left" w:pos="6480"/>
        </w:tabs>
        <w:ind w:left="720" w:hanging="720"/>
        <w:rPr>
          <w:rFonts w:ascii="Arial" w:hAnsi="Arial" w:cs="Arial"/>
          <w:sz w:val="18"/>
          <w:szCs w:val="18"/>
        </w:rPr>
      </w:pPr>
    </w:p>
    <w:p w14:paraId="218306A3" w14:textId="77777777" w:rsidR="00C95FB9" w:rsidRPr="00C708F0" w:rsidRDefault="00C95FB9" w:rsidP="00CD1219">
      <w:pPr>
        <w:tabs>
          <w:tab w:val="left" w:pos="6480"/>
        </w:tabs>
        <w:ind w:left="720" w:hanging="720"/>
        <w:jc w:val="center"/>
        <w:rPr>
          <w:rFonts w:ascii="Arial" w:hAnsi="Arial" w:cs="Arial"/>
          <w:sz w:val="18"/>
          <w:szCs w:val="18"/>
        </w:rPr>
      </w:pPr>
    </w:p>
    <w:sectPr w:rsidR="00C95FB9" w:rsidRPr="00C708F0"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FB7C6E"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41D00856" w:rsidR="004C057B" w:rsidRPr="0036626C" w:rsidRDefault="0036626C" w:rsidP="000E03B8">
    <w:pPr>
      <w:tabs>
        <w:tab w:val="left" w:pos="720"/>
        <w:tab w:val="center" w:pos="5400"/>
      </w:tabs>
      <w:jc w:val="center"/>
      <w:rPr>
        <w:rFonts w:ascii="Arial" w:hAnsi="Arial" w:cs="Arial"/>
        <w:b/>
        <w:sz w:val="18"/>
        <w:szCs w:val="18"/>
      </w:rPr>
    </w:pPr>
    <w:r w:rsidRPr="0036626C">
      <w:rPr>
        <w:rFonts w:ascii="Arial" w:hAnsi="Arial" w:cs="Arial"/>
        <w:b/>
        <w:sz w:val="18"/>
        <w:szCs w:val="18"/>
      </w:rPr>
      <w:t>Buffalo National River</w:t>
    </w:r>
  </w:p>
  <w:p w14:paraId="7F74EFB5" w14:textId="5919F891" w:rsidR="004C057B" w:rsidRPr="0036626C" w:rsidRDefault="0036626C" w:rsidP="007244B7">
    <w:pPr>
      <w:tabs>
        <w:tab w:val="left" w:pos="720"/>
        <w:tab w:val="center" w:pos="5400"/>
      </w:tabs>
      <w:jc w:val="center"/>
      <w:rPr>
        <w:rFonts w:ascii="Arial" w:hAnsi="Arial" w:cs="Arial"/>
        <w:sz w:val="18"/>
        <w:szCs w:val="18"/>
      </w:rPr>
    </w:pPr>
    <w:r w:rsidRPr="0036626C">
      <w:rPr>
        <w:rFonts w:ascii="Arial" w:hAnsi="Arial" w:cs="Arial"/>
        <w:sz w:val="18"/>
        <w:szCs w:val="18"/>
      </w:rPr>
      <w:t>402 N Walnut St., Ste 136</w:t>
    </w:r>
  </w:p>
  <w:p w14:paraId="441CDD74" w14:textId="31988AB2" w:rsidR="004C057B" w:rsidRPr="0036626C" w:rsidRDefault="0036626C">
    <w:pPr>
      <w:tabs>
        <w:tab w:val="left" w:pos="720"/>
        <w:tab w:val="center" w:pos="5400"/>
      </w:tabs>
      <w:jc w:val="center"/>
      <w:rPr>
        <w:rFonts w:ascii="Arial" w:hAnsi="Arial" w:cs="Arial"/>
        <w:sz w:val="18"/>
        <w:szCs w:val="18"/>
      </w:rPr>
    </w:pPr>
    <w:r w:rsidRPr="0036626C">
      <w:rPr>
        <w:rFonts w:ascii="Arial" w:hAnsi="Arial" w:cs="Arial"/>
        <w:sz w:val="18"/>
        <w:szCs w:val="18"/>
      </w:rPr>
      <w:t>Harrison, AR 72601</w:t>
    </w:r>
  </w:p>
  <w:p w14:paraId="226877CB" w14:textId="48C594C5" w:rsidR="004C057B" w:rsidRPr="0036626C" w:rsidRDefault="0036626C">
    <w:pPr>
      <w:tabs>
        <w:tab w:val="left" w:pos="720"/>
        <w:tab w:val="center" w:pos="5400"/>
      </w:tabs>
      <w:jc w:val="center"/>
      <w:rPr>
        <w:rFonts w:ascii="Arial" w:hAnsi="Arial" w:cs="Arial"/>
        <w:sz w:val="18"/>
        <w:szCs w:val="18"/>
      </w:rPr>
    </w:pPr>
    <w:r w:rsidRPr="0036626C">
      <w:rPr>
        <w:rFonts w:ascii="Arial" w:hAnsi="Arial" w:cs="Arial"/>
        <w:sz w:val="18"/>
        <w:szCs w:val="18"/>
      </w:rPr>
      <w:t>Commercial Services Office</w:t>
    </w:r>
  </w:p>
  <w:p w14:paraId="1CC8799F" w14:textId="4D7B4560" w:rsidR="004C057B" w:rsidRPr="0036626C" w:rsidRDefault="004C057B">
    <w:pPr>
      <w:tabs>
        <w:tab w:val="left" w:pos="720"/>
        <w:tab w:val="center" w:pos="5400"/>
      </w:tabs>
      <w:jc w:val="center"/>
      <w:rPr>
        <w:rFonts w:ascii="Arial" w:hAnsi="Arial" w:cs="Arial"/>
        <w:sz w:val="18"/>
        <w:szCs w:val="18"/>
      </w:rPr>
    </w:pPr>
    <w:r w:rsidRPr="0036626C">
      <w:rPr>
        <w:rFonts w:ascii="Arial" w:hAnsi="Arial" w:cs="Arial"/>
        <w:sz w:val="18"/>
        <w:szCs w:val="18"/>
      </w:rPr>
      <w:t xml:space="preserve">Phone Number: </w:t>
    </w:r>
    <w:r w:rsidR="0036626C" w:rsidRPr="0036626C">
      <w:rPr>
        <w:rFonts w:ascii="Arial" w:hAnsi="Arial" w:cs="Arial"/>
        <w:sz w:val="18"/>
        <w:szCs w:val="18"/>
      </w:rPr>
      <w:t>870-365-27</w:t>
    </w:r>
    <w:r w:rsidR="002D03B7">
      <w:rPr>
        <w:rFonts w:ascii="Arial" w:hAnsi="Arial" w:cs="Arial"/>
        <w:sz w:val="18"/>
        <w:szCs w:val="18"/>
      </w:rPr>
      <w:t>02</w:t>
    </w:r>
    <w:r w:rsidR="0036626C" w:rsidRPr="0036626C">
      <w:rPr>
        <w:rFonts w:ascii="Arial" w:hAnsi="Arial" w:cs="Arial"/>
        <w:sz w:val="18"/>
        <w:szCs w:val="18"/>
      </w:rPr>
      <w:t xml:space="preserve"> or 870-365-27</w:t>
    </w:r>
    <w:r w:rsidR="002D03B7">
      <w:rPr>
        <w:rFonts w:ascii="Arial" w:hAnsi="Arial" w:cs="Arial"/>
        <w:sz w:val="18"/>
        <w:szCs w:val="18"/>
      </w:rPr>
      <w:t>24</w:t>
    </w:r>
  </w:p>
  <w:p w14:paraId="13D7463A" w14:textId="7994435E" w:rsidR="0036626C" w:rsidRPr="004D343B" w:rsidRDefault="0036626C">
    <w:pPr>
      <w:tabs>
        <w:tab w:val="left" w:pos="720"/>
        <w:tab w:val="center" w:pos="5400"/>
      </w:tabs>
      <w:jc w:val="center"/>
      <w:rPr>
        <w:rFonts w:ascii="Arial" w:hAnsi="Arial" w:cs="Arial"/>
        <w:sz w:val="18"/>
        <w:szCs w:val="18"/>
      </w:rPr>
    </w:pPr>
    <w:r w:rsidRPr="0036626C">
      <w:rPr>
        <w:rFonts w:ascii="Arial" w:hAnsi="Arial" w:cs="Arial"/>
        <w:sz w:val="18"/>
        <w:szCs w:val="18"/>
      </w:rPr>
      <w:t>Email: BUFF_Concessions@nps.gov</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A1FE3"/>
    <w:multiLevelType w:val="hybridMultilevel"/>
    <w:tmpl w:val="5C442D32"/>
    <w:lvl w:ilvl="0" w:tplc="3BAA5EE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566965"/>
    <w:multiLevelType w:val="hybridMultilevel"/>
    <w:tmpl w:val="B4FCCE54"/>
    <w:lvl w:ilvl="0" w:tplc="1EAAAC4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57933"/>
    <w:multiLevelType w:val="hybridMultilevel"/>
    <w:tmpl w:val="B2503A9A"/>
    <w:lvl w:ilvl="0" w:tplc="76369AF0">
      <w:start w:val="1"/>
      <w:numFmt w:val="decimal"/>
      <w:lvlText w:val="%1."/>
      <w:lvlJc w:val="left"/>
      <w:pPr>
        <w:ind w:left="900" w:hanging="360"/>
      </w:pPr>
      <w:rPr>
        <w:i w:val="0"/>
        <w:sz w:val="1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5"/>
  </w:num>
  <w:num w:numId="2" w16cid:durableId="2077586365">
    <w:abstractNumId w:val="10"/>
  </w:num>
  <w:num w:numId="3" w16cid:durableId="1391729433">
    <w:abstractNumId w:val="7"/>
  </w:num>
  <w:num w:numId="4" w16cid:durableId="1159924495">
    <w:abstractNumId w:val="18"/>
  </w:num>
  <w:num w:numId="5" w16cid:durableId="72705384">
    <w:abstractNumId w:val="3"/>
  </w:num>
  <w:num w:numId="6" w16cid:durableId="1705326452">
    <w:abstractNumId w:val="2"/>
  </w:num>
  <w:num w:numId="7" w16cid:durableId="1280143343">
    <w:abstractNumId w:val="9"/>
  </w:num>
  <w:num w:numId="8" w16cid:durableId="214512450">
    <w:abstractNumId w:val="6"/>
  </w:num>
  <w:num w:numId="9" w16cid:durableId="439838919">
    <w:abstractNumId w:val="13"/>
  </w:num>
  <w:num w:numId="10" w16cid:durableId="361977001">
    <w:abstractNumId w:val="14"/>
  </w:num>
  <w:num w:numId="11" w16cid:durableId="1884100812">
    <w:abstractNumId w:val="16"/>
  </w:num>
  <w:num w:numId="12" w16cid:durableId="1925451986">
    <w:abstractNumId w:val="8"/>
  </w:num>
  <w:num w:numId="13" w16cid:durableId="1347092826">
    <w:abstractNumId w:val="4"/>
  </w:num>
  <w:num w:numId="14" w16cid:durableId="239827909">
    <w:abstractNumId w:val="1"/>
  </w:num>
  <w:num w:numId="15" w16cid:durableId="610018158">
    <w:abstractNumId w:val="0"/>
  </w:num>
  <w:num w:numId="16" w16cid:durableId="1630546503">
    <w:abstractNumId w:val="15"/>
  </w:num>
  <w:num w:numId="17" w16cid:durableId="1633944170">
    <w:abstractNumId w:val="19"/>
  </w:num>
  <w:num w:numId="18" w16cid:durableId="14985748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8467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910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03B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6626C"/>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542"/>
    <w:rsid w:val="00C56B22"/>
    <w:rsid w:val="00C623A4"/>
    <w:rsid w:val="00C645DD"/>
    <w:rsid w:val="00C701A0"/>
    <w:rsid w:val="00C708F0"/>
    <w:rsid w:val="00C80883"/>
    <w:rsid w:val="00C81CA4"/>
    <w:rsid w:val="00C872E1"/>
    <w:rsid w:val="00C95FB9"/>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uiPriority w:val="99"/>
    <w:rsid w:val="00C95FB9"/>
    <w:pPr>
      <w:autoSpaceDE w:val="0"/>
      <w:autoSpaceDN w:val="0"/>
      <w:adjustRightInd w:val="0"/>
    </w:pPr>
    <w:rPr>
      <w:color w:val="000000"/>
      <w:sz w:val="24"/>
      <w:szCs w:val="24"/>
    </w:rPr>
  </w:style>
  <w:style w:type="paragraph" w:styleId="NormalWeb">
    <w:name w:val="Normal (Web)"/>
    <w:basedOn w:val="Normal"/>
    <w:uiPriority w:val="99"/>
    <w:semiHidden/>
    <w:unhideWhenUsed/>
    <w:rsid w:val="00C95FB9"/>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bbe00575-f1e3-4324-ac25-69cff9ca28c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d486ada-b033-43f8-9561-82d9abe8172f"/>
    <ds:schemaRef ds:uri="http://purl.org/dc/elements/1.1/"/>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4381</Words>
  <Characters>26127</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Sullivan, Pamela A</cp:lastModifiedBy>
  <cp:revision>2</cp:revision>
  <cp:lastPrinted>2016-04-19T17:13:00Z</cp:lastPrinted>
  <dcterms:created xsi:type="dcterms:W3CDTF">2023-11-24T19:39:00Z</dcterms:created>
  <dcterms:modified xsi:type="dcterms:W3CDTF">2023-11-24T19:39:00Z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