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26B6C273"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p>
    <w:p w14:paraId="07D267B9" w14:textId="335CB4A1"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4E7643">
        <w:rPr>
          <w:rFonts w:ascii="Arial" w:hAnsi="Arial" w:cs="Arial"/>
          <w:sz w:val="18"/>
          <w:szCs w:val="18"/>
          <w:highlight w:val="lightGray"/>
        </w:rPr>
        <w:t>January 31 of following season</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23D374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00DC79E2"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107C7">
        <w:rPr>
          <w:rFonts w:ascii="Arial" w:hAnsi="Arial" w:cs="Arial"/>
          <w:sz w:val="18"/>
          <w:szCs w:val="18"/>
        </w:rPr>
      </w:r>
      <w:r w:rsidR="001107C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107C7">
        <w:rPr>
          <w:rFonts w:ascii="Arial" w:hAnsi="Arial" w:cs="Arial"/>
          <w:sz w:val="18"/>
          <w:szCs w:val="18"/>
        </w:rPr>
      </w:r>
      <w:r w:rsidR="001107C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173E93DE" w14:textId="77777777" w:rsidR="004E7643"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w:t>
      </w:r>
      <w:proofErr w:type="gramStart"/>
      <w:r w:rsidRPr="00964A37">
        <w:rPr>
          <w:rFonts w:ascii="Arial" w:hAnsi="Arial" w:cs="Arial"/>
          <w:sz w:val="18"/>
          <w:szCs w:val="18"/>
        </w:rPr>
        <w:t>injury</w:t>
      </w:r>
      <w:proofErr w:type="gramEnd"/>
      <w:r w:rsidRPr="00964A37">
        <w:rPr>
          <w:rFonts w:ascii="Arial" w:hAnsi="Arial" w:cs="Arial"/>
          <w:sz w:val="18"/>
          <w:szCs w:val="18"/>
        </w:rPr>
        <w:t xml:space="preserve"> </w:t>
      </w:r>
    </w:p>
    <w:p w14:paraId="70EBF5E0" w14:textId="77777777" w:rsidR="004E7643" w:rsidRDefault="004E7643" w:rsidP="00150556">
      <w:pPr>
        <w:tabs>
          <w:tab w:val="left" w:pos="720"/>
          <w:tab w:val="left" w:pos="5040"/>
        </w:tabs>
        <w:spacing w:before="240"/>
        <w:ind w:left="360"/>
        <w:rPr>
          <w:rFonts w:ascii="Arial" w:hAnsi="Arial" w:cs="Arial"/>
          <w:b/>
          <w:sz w:val="18"/>
          <w:szCs w:val="18"/>
        </w:rPr>
      </w:pPr>
    </w:p>
    <w:p w14:paraId="4241C9E1" w14:textId="56BB77B3"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107C7">
        <w:rPr>
          <w:rFonts w:ascii="Arial" w:hAnsi="Arial" w:cs="Arial"/>
          <w:sz w:val="18"/>
          <w:szCs w:val="18"/>
        </w:rPr>
      </w:r>
      <w:r w:rsidR="001107C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107C7">
        <w:rPr>
          <w:rFonts w:ascii="Arial" w:hAnsi="Arial" w:cs="Arial"/>
          <w:sz w:val="18"/>
          <w:szCs w:val="18"/>
        </w:rPr>
      </w:r>
      <w:r w:rsidR="001107C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29E7B46F"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12D178AE" w14:textId="77777777" w:rsidR="00DF3BB4" w:rsidRDefault="00DF3BB4" w:rsidP="00DF3BB4">
      <w:pPr>
        <w:pStyle w:val="ListParagraph"/>
        <w:rPr>
          <w:rFonts w:ascii="Arial" w:hAnsi="Arial" w:cs="Arial"/>
          <w:sz w:val="18"/>
          <w:szCs w:val="18"/>
        </w:rPr>
      </w:pPr>
    </w:p>
    <w:p w14:paraId="3901BD8C" w14:textId="090F765E" w:rsidR="00DF3BB4" w:rsidRDefault="00DF3BB4" w:rsidP="00DF3BB4">
      <w:pPr>
        <w:rPr>
          <w:rFonts w:ascii="Arial" w:hAnsi="Arial" w:cs="Arial"/>
          <w:sz w:val="18"/>
          <w:szCs w:val="18"/>
        </w:rPr>
      </w:pPr>
    </w:p>
    <w:p w14:paraId="20D5D1E9" w14:textId="4789C20B" w:rsidR="00DF3BB4" w:rsidRPr="00A52356" w:rsidRDefault="00DF3BB4" w:rsidP="00DF3BB4">
      <w:pPr>
        <w:pStyle w:val="NormalWeb"/>
        <w:shd w:val="clear" w:color="auto" w:fill="FFFFFF"/>
        <w:spacing w:before="0" w:beforeAutospacing="0" w:after="0" w:afterAutospacing="0"/>
        <w:rPr>
          <w:rFonts w:ascii="Arial" w:hAnsi="Arial" w:cs="Arial"/>
          <w:b/>
          <w:bCs/>
          <w:sz w:val="20"/>
          <w:szCs w:val="20"/>
          <w:u w:val="single"/>
        </w:rPr>
      </w:pPr>
      <w:r w:rsidRPr="00A52356">
        <w:rPr>
          <w:rFonts w:ascii="Arial" w:hAnsi="Arial" w:cs="Arial"/>
          <w:b/>
          <w:bCs/>
          <w:sz w:val="20"/>
          <w:szCs w:val="20"/>
          <w:u w:val="single"/>
        </w:rPr>
        <w:t>Annual Activity Reporting</w:t>
      </w:r>
    </w:p>
    <w:p w14:paraId="3B189655" w14:textId="77777777" w:rsidR="00DF3BB4" w:rsidRPr="00A52356" w:rsidRDefault="00DF3BB4" w:rsidP="00DF3BB4">
      <w:pPr>
        <w:pStyle w:val="NormalWeb"/>
        <w:shd w:val="clear" w:color="auto" w:fill="FFFFFF"/>
        <w:spacing w:before="0" w:beforeAutospacing="0" w:after="0" w:afterAutospacing="0"/>
        <w:rPr>
          <w:rFonts w:ascii="Arial" w:hAnsi="Arial" w:cs="Arial"/>
          <w:sz w:val="20"/>
          <w:szCs w:val="20"/>
        </w:rPr>
      </w:pPr>
    </w:p>
    <w:p w14:paraId="45E29948" w14:textId="77777777" w:rsidR="00DF3BB4" w:rsidRPr="00A52356" w:rsidRDefault="00DF3BB4" w:rsidP="00DF3BB4">
      <w:pPr>
        <w:pStyle w:val="NormalWeb"/>
        <w:shd w:val="clear" w:color="auto" w:fill="FFFFFF"/>
        <w:spacing w:before="0" w:beforeAutospacing="0" w:after="0" w:afterAutospacing="0"/>
        <w:rPr>
          <w:rFonts w:ascii="Arial" w:hAnsi="Arial" w:cs="Arial"/>
          <w:sz w:val="20"/>
          <w:szCs w:val="20"/>
        </w:rPr>
      </w:pPr>
      <w:r w:rsidRPr="00A52356">
        <w:rPr>
          <w:rFonts w:ascii="Arial" w:hAnsi="Arial" w:cs="Arial"/>
          <w:sz w:val="20"/>
          <w:szCs w:val="20"/>
        </w:rPr>
        <w:t>Certain activities require more detailed reporting. Refer to park-specific stipulations for additional detailed conditions related to your permitted activities.  </w:t>
      </w:r>
    </w:p>
    <w:p w14:paraId="211F4BE1" w14:textId="77777777" w:rsidR="00DF3BB4" w:rsidRPr="00A52356" w:rsidRDefault="00DF3BB4" w:rsidP="00DF3BB4">
      <w:pPr>
        <w:pStyle w:val="NormalWeb"/>
        <w:shd w:val="clear" w:color="auto" w:fill="FFFFFF"/>
        <w:spacing w:before="0" w:beforeAutospacing="0" w:after="0" w:afterAutospacing="0"/>
        <w:ind w:left="100"/>
        <w:rPr>
          <w:rFonts w:ascii="Arial" w:hAnsi="Arial" w:cs="Arial"/>
          <w:sz w:val="20"/>
          <w:szCs w:val="20"/>
        </w:rPr>
      </w:pPr>
      <w:r w:rsidRPr="00A52356">
        <w:rPr>
          <w:rFonts w:ascii="Arial" w:hAnsi="Arial" w:cs="Arial"/>
          <w:sz w:val="20"/>
          <w:szCs w:val="20"/>
        </w:rPr>
        <w:t> </w:t>
      </w:r>
    </w:p>
    <w:p w14:paraId="48AEBFB8" w14:textId="77777777" w:rsidR="00DF3BB4" w:rsidRPr="00A52356" w:rsidRDefault="00DF3BB4" w:rsidP="00DF3BB4">
      <w:pPr>
        <w:pStyle w:val="NormalWeb"/>
        <w:shd w:val="clear" w:color="auto" w:fill="FFFFFF"/>
        <w:spacing w:before="0" w:beforeAutospacing="0" w:after="0" w:afterAutospacing="0"/>
        <w:rPr>
          <w:rFonts w:ascii="Arial" w:hAnsi="Arial" w:cs="Arial"/>
          <w:sz w:val="20"/>
          <w:szCs w:val="20"/>
        </w:rPr>
      </w:pPr>
      <w:r w:rsidRPr="00A52356">
        <w:rPr>
          <w:rFonts w:ascii="Arial" w:hAnsi="Arial" w:cs="Arial"/>
          <w:sz w:val="20"/>
          <w:szCs w:val="20"/>
        </w:rPr>
        <w:t>The holder is required to use the online Visitor Use Reporting system (</w:t>
      </w:r>
      <w:proofErr w:type="spellStart"/>
      <w:r w:rsidRPr="00A52356">
        <w:rPr>
          <w:rFonts w:ascii="Arial" w:hAnsi="Arial" w:cs="Arial"/>
          <w:sz w:val="20"/>
          <w:szCs w:val="20"/>
        </w:rPr>
        <w:t>VURn</w:t>
      </w:r>
      <w:proofErr w:type="spellEnd"/>
      <w:r w:rsidRPr="00A52356">
        <w:rPr>
          <w:rFonts w:ascii="Arial" w:hAnsi="Arial" w:cs="Arial"/>
          <w:sz w:val="20"/>
          <w:szCs w:val="20"/>
        </w:rPr>
        <w:t>) at </w:t>
      </w:r>
      <w:hyperlink r:id="rId15" w:tgtFrame="_blank" w:history="1">
        <w:r w:rsidRPr="00A52356">
          <w:rPr>
            <w:rFonts w:ascii="Arial" w:hAnsi="Arial" w:cs="Arial"/>
            <w:sz w:val="20"/>
            <w:szCs w:val="20"/>
          </w:rPr>
          <w:t>https://irma.nps.gov/VURn/</w:t>
        </w:r>
      </w:hyperlink>
      <w:r w:rsidRPr="00A52356">
        <w:rPr>
          <w:rFonts w:ascii="Arial" w:hAnsi="Arial" w:cs="Arial"/>
          <w:sz w:val="20"/>
          <w:szCs w:val="20"/>
        </w:rPr>
        <w:t xml:space="preserve">. The holder must use </w:t>
      </w:r>
      <w:proofErr w:type="spellStart"/>
      <w:r w:rsidRPr="00A52356">
        <w:rPr>
          <w:rFonts w:ascii="Arial" w:hAnsi="Arial" w:cs="Arial"/>
          <w:sz w:val="20"/>
          <w:szCs w:val="20"/>
        </w:rPr>
        <w:t>VURn</w:t>
      </w:r>
      <w:proofErr w:type="spellEnd"/>
      <w:r w:rsidRPr="00A52356">
        <w:rPr>
          <w:rFonts w:ascii="Arial" w:hAnsi="Arial" w:cs="Arial"/>
          <w:sz w:val="20"/>
          <w:szCs w:val="20"/>
        </w:rPr>
        <w:t xml:space="preserve"> to report all commercial activity for all park units in Interior Region 11 – Alaska. If the CUA holder did not operate in a park unit, the holder must use </w:t>
      </w:r>
      <w:proofErr w:type="spellStart"/>
      <w:r w:rsidRPr="00A52356">
        <w:rPr>
          <w:rFonts w:ascii="Arial" w:hAnsi="Arial" w:cs="Arial"/>
          <w:sz w:val="20"/>
          <w:szCs w:val="20"/>
        </w:rPr>
        <w:t>VURn</w:t>
      </w:r>
      <w:proofErr w:type="spellEnd"/>
      <w:r w:rsidRPr="00A52356">
        <w:rPr>
          <w:rFonts w:ascii="Arial" w:hAnsi="Arial" w:cs="Arial"/>
          <w:sz w:val="20"/>
          <w:szCs w:val="20"/>
        </w:rPr>
        <w:t xml:space="preserve"> to report no use/did not operate and meet the Activity Reporting requirement.  </w:t>
      </w:r>
    </w:p>
    <w:p w14:paraId="72FDCC88" w14:textId="77777777" w:rsidR="00DF3BB4" w:rsidRPr="00A52356" w:rsidRDefault="00DF3BB4" w:rsidP="00DF3BB4">
      <w:pPr>
        <w:pStyle w:val="NormalWeb"/>
        <w:shd w:val="clear" w:color="auto" w:fill="FFFFFF"/>
        <w:spacing w:before="0" w:beforeAutospacing="0" w:after="0" w:afterAutospacing="0"/>
        <w:ind w:left="100"/>
        <w:rPr>
          <w:rFonts w:ascii="Arial" w:hAnsi="Arial" w:cs="Arial"/>
          <w:sz w:val="20"/>
          <w:szCs w:val="20"/>
        </w:rPr>
      </w:pPr>
      <w:r w:rsidRPr="00A52356">
        <w:rPr>
          <w:rFonts w:ascii="Arial" w:hAnsi="Arial" w:cs="Arial"/>
          <w:sz w:val="20"/>
          <w:szCs w:val="20"/>
        </w:rPr>
        <w:t> </w:t>
      </w:r>
    </w:p>
    <w:p w14:paraId="0D9C83AE" w14:textId="77777777" w:rsidR="00DF3BB4" w:rsidRPr="00A52356" w:rsidRDefault="00DF3BB4" w:rsidP="00DF3BB4">
      <w:pPr>
        <w:pStyle w:val="NormalWeb"/>
        <w:shd w:val="clear" w:color="auto" w:fill="FFFFFF"/>
        <w:spacing w:before="0" w:beforeAutospacing="0" w:after="0" w:afterAutospacing="0"/>
        <w:rPr>
          <w:rFonts w:ascii="Arial" w:hAnsi="Arial" w:cs="Arial"/>
          <w:sz w:val="20"/>
          <w:szCs w:val="20"/>
        </w:rPr>
      </w:pPr>
      <w:r w:rsidRPr="00A52356">
        <w:rPr>
          <w:rFonts w:ascii="Arial" w:hAnsi="Arial" w:cs="Arial"/>
          <w:sz w:val="20"/>
          <w:szCs w:val="20"/>
        </w:rPr>
        <w:t>Unless otherwise noted in park-specific permit stipulations, each trip to a park unit must be reported separately. A trip is defined as a commercial visit to or entry in a park unit. It is considered one trip each time a permitted business enters and leaves a park unit.  </w:t>
      </w:r>
    </w:p>
    <w:p w14:paraId="487470DE" w14:textId="77777777" w:rsidR="00DF3BB4" w:rsidRPr="00A52356" w:rsidRDefault="00DF3BB4" w:rsidP="00DF3BB4">
      <w:pPr>
        <w:pStyle w:val="NormalWeb"/>
        <w:shd w:val="clear" w:color="auto" w:fill="FFFFFF"/>
        <w:spacing w:before="0" w:beforeAutospacing="0" w:after="0" w:afterAutospacing="0"/>
        <w:rPr>
          <w:rFonts w:ascii="Arial" w:hAnsi="Arial" w:cs="Arial"/>
          <w:sz w:val="20"/>
          <w:szCs w:val="20"/>
        </w:rPr>
      </w:pPr>
      <w:r w:rsidRPr="00A52356">
        <w:rPr>
          <w:rFonts w:ascii="Arial" w:hAnsi="Arial" w:cs="Arial"/>
          <w:sz w:val="20"/>
          <w:szCs w:val="20"/>
        </w:rPr>
        <w:t> </w:t>
      </w:r>
    </w:p>
    <w:p w14:paraId="361AD981" w14:textId="77777777" w:rsidR="00DF3BB4" w:rsidRPr="00A52356" w:rsidRDefault="00DF3BB4" w:rsidP="00DF3BB4">
      <w:pPr>
        <w:pStyle w:val="NormalWeb"/>
        <w:shd w:val="clear" w:color="auto" w:fill="FFFFFF"/>
        <w:spacing w:before="0" w:beforeAutospacing="0" w:after="0" w:afterAutospacing="0"/>
        <w:rPr>
          <w:rFonts w:ascii="Arial" w:hAnsi="Arial" w:cs="Arial"/>
          <w:b/>
          <w:bCs/>
          <w:sz w:val="20"/>
          <w:szCs w:val="20"/>
        </w:rPr>
      </w:pPr>
      <w:r w:rsidRPr="00A52356">
        <w:rPr>
          <w:rFonts w:ascii="Arial" w:hAnsi="Arial" w:cs="Arial"/>
          <w:b/>
          <w:bCs/>
          <w:sz w:val="20"/>
          <w:szCs w:val="20"/>
        </w:rPr>
        <w:t xml:space="preserve">Activity Reporting in </w:t>
      </w:r>
      <w:proofErr w:type="spellStart"/>
      <w:r w:rsidRPr="00A52356">
        <w:rPr>
          <w:rFonts w:ascii="Arial" w:hAnsi="Arial" w:cs="Arial"/>
          <w:b/>
          <w:bCs/>
          <w:sz w:val="20"/>
          <w:szCs w:val="20"/>
        </w:rPr>
        <w:t>VURn</w:t>
      </w:r>
      <w:proofErr w:type="spellEnd"/>
      <w:r w:rsidRPr="00A52356">
        <w:rPr>
          <w:rFonts w:ascii="Arial" w:hAnsi="Arial" w:cs="Arial"/>
          <w:b/>
          <w:bCs/>
          <w:sz w:val="20"/>
          <w:szCs w:val="20"/>
        </w:rPr>
        <w:t> must be completed on or before January 31st of the following reporting year.  </w:t>
      </w:r>
    </w:p>
    <w:p w14:paraId="3F16F012" w14:textId="7F20F4EB" w:rsidR="00DF3BB4" w:rsidRPr="00A52356" w:rsidRDefault="00DF3BB4" w:rsidP="00DF3BB4">
      <w:pPr>
        <w:pStyle w:val="NormalWeb"/>
        <w:shd w:val="clear" w:color="auto" w:fill="FFFFFF"/>
        <w:tabs>
          <w:tab w:val="right" w:pos="10800"/>
        </w:tabs>
        <w:spacing w:before="0" w:beforeAutospacing="0" w:after="0" w:afterAutospacing="0"/>
        <w:rPr>
          <w:rFonts w:ascii="Arial" w:hAnsi="Arial" w:cs="Arial"/>
          <w:sz w:val="20"/>
          <w:szCs w:val="20"/>
        </w:rPr>
      </w:pPr>
      <w:r w:rsidRPr="00A52356">
        <w:rPr>
          <w:rFonts w:ascii="Arial" w:hAnsi="Arial" w:cs="Arial"/>
          <w:sz w:val="20"/>
          <w:szCs w:val="20"/>
        </w:rPr>
        <w:t> </w:t>
      </w:r>
      <w:r w:rsidRPr="00A52356">
        <w:rPr>
          <w:rFonts w:ascii="Arial" w:hAnsi="Arial" w:cs="Arial"/>
          <w:sz w:val="20"/>
          <w:szCs w:val="20"/>
        </w:rPr>
        <w:tab/>
      </w:r>
    </w:p>
    <w:p w14:paraId="0E85C780" w14:textId="334D1802" w:rsidR="00150556" w:rsidRPr="00A52356" w:rsidRDefault="00DF3BB4" w:rsidP="00DF3BB4">
      <w:pPr>
        <w:pStyle w:val="NormalWeb"/>
        <w:shd w:val="clear" w:color="auto" w:fill="FFFFFF"/>
        <w:spacing w:before="0" w:beforeAutospacing="0" w:after="0" w:afterAutospacing="0"/>
        <w:rPr>
          <w:rFonts w:ascii="Arial" w:hAnsi="Arial" w:cs="Arial"/>
          <w:sz w:val="20"/>
          <w:szCs w:val="20"/>
        </w:rPr>
        <w:sectPr w:rsidR="00150556" w:rsidRPr="00A52356" w:rsidSect="00DD5A5F">
          <w:headerReference w:type="even" r:id="rId16"/>
          <w:headerReference w:type="default" r:id="rId17"/>
          <w:footerReference w:type="default" r:id="rId18"/>
          <w:headerReference w:type="first" r:id="rId19"/>
          <w:footerReference w:type="first" r:id="rId20"/>
          <w:pgSz w:w="12240" w:h="15840"/>
          <w:pgMar w:top="720" w:right="720" w:bottom="720" w:left="720" w:header="720" w:footer="720" w:gutter="0"/>
          <w:pgNumType w:fmt="lowerRoman"/>
          <w:cols w:space="720"/>
          <w:titlePg/>
          <w:docGrid w:linePitch="360"/>
        </w:sectPr>
      </w:pPr>
      <w:r w:rsidRPr="00A52356">
        <w:rPr>
          <w:rFonts w:ascii="Arial" w:hAnsi="Arial" w:cs="Arial"/>
          <w:sz w:val="20"/>
          <w:szCs w:val="20"/>
        </w:rPr>
        <w:t>Further to Interior Region 11 Condition #14, the Suspension, Restriction, Revocation, and Denial Policy, failure to submit required activity and annual reporting or fee payments in a timely manner may impact the holder’s ability to obtain a CUA in future years</w:t>
      </w:r>
      <w:r w:rsidR="00A52356" w:rsidRPr="00A52356">
        <w:rPr>
          <w:rFonts w:ascii="Arial" w:hAnsi="Arial" w:cs="Arial"/>
          <w:sz w:val="20"/>
          <w:szCs w:val="20"/>
        </w:rPr>
        <w:t>.</w:t>
      </w:r>
    </w:p>
    <w:p w14:paraId="3D434062" w14:textId="77777777" w:rsidR="00150556" w:rsidRDefault="00150556" w:rsidP="00DF3BB4">
      <w:pPr>
        <w:spacing w:after="120"/>
        <w:rPr>
          <w:rFonts w:ascii="Arial" w:hAnsi="Arial" w:cs="Arial"/>
          <w:b/>
          <w:sz w:val="18"/>
          <w:szCs w:val="18"/>
        </w:rPr>
        <w:sectPr w:rsidR="00150556" w:rsidSect="00F72AEA">
          <w:headerReference w:type="first" r:id="rId21"/>
          <w:footerReference w:type="first" r:id="rId22"/>
          <w:type w:val="continuous"/>
          <w:pgSz w:w="12240" w:h="15840"/>
          <w:pgMar w:top="720" w:right="720" w:bottom="720" w:left="720" w:header="720" w:footer="720" w:gutter="0"/>
          <w:cols w:space="720"/>
          <w:titlePg/>
          <w:docGrid w:linePitch="360"/>
        </w:sectPr>
      </w:pPr>
    </w:p>
    <w:p w14:paraId="644C0E01" w14:textId="62EF39C0" w:rsidR="00461732" w:rsidRDefault="00461732" w:rsidP="00DC79E2">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A15C" w14:textId="77777777" w:rsidR="00F20A9C" w:rsidRDefault="00F20A9C">
      <w:r>
        <w:separator/>
      </w:r>
    </w:p>
  </w:endnote>
  <w:endnote w:type="continuationSeparator" w:id="0">
    <w:p w14:paraId="06842C6D" w14:textId="77777777" w:rsidR="00F20A9C" w:rsidRDefault="00F20A9C">
      <w:r>
        <w:continuationSeparator/>
      </w:r>
    </w:p>
  </w:endnote>
  <w:endnote w:type="continuationNotice" w:id="1">
    <w:p w14:paraId="4A319BB4" w14:textId="77777777" w:rsidR="00F20A9C" w:rsidRDefault="00F2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308061FD"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F3BB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B08" w14:textId="475BDC8A" w:rsidR="00150556" w:rsidRPr="00FF6F68" w:rsidRDefault="00150556" w:rsidP="00FF6F68">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CBB6" w14:textId="77777777" w:rsidR="00F20A9C" w:rsidRDefault="00F20A9C">
      <w:r>
        <w:separator/>
      </w:r>
    </w:p>
  </w:footnote>
  <w:footnote w:type="continuationSeparator" w:id="0">
    <w:p w14:paraId="09BBFBDF" w14:textId="77777777" w:rsidR="00F20A9C" w:rsidRDefault="00F20A9C">
      <w:r>
        <w:continuationSeparator/>
      </w:r>
    </w:p>
  </w:footnote>
  <w:footnote w:type="continuationNotice" w:id="1">
    <w:p w14:paraId="04EB09B5" w14:textId="77777777" w:rsidR="00F20A9C" w:rsidRDefault="00F20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B3BB05D" w14:textId="77777777" w:rsidR="004E7643" w:rsidRPr="00DF1837" w:rsidRDefault="004E7643" w:rsidP="004E7643">
    <w:pPr>
      <w:tabs>
        <w:tab w:val="left" w:pos="720"/>
        <w:tab w:val="center" w:pos="5400"/>
      </w:tabs>
      <w:jc w:val="center"/>
      <w:rPr>
        <w:rFonts w:ascii="Arial" w:hAnsi="Arial" w:cs="Arial"/>
        <w:b/>
        <w:sz w:val="18"/>
        <w:szCs w:val="18"/>
      </w:rPr>
    </w:pPr>
    <w:r w:rsidRPr="00DF1837">
      <w:rPr>
        <w:rFonts w:ascii="Arial" w:hAnsi="Arial" w:cs="Arial"/>
        <w:b/>
        <w:sz w:val="18"/>
        <w:szCs w:val="18"/>
      </w:rPr>
      <w:t>Denali National Park and Preserve</w:t>
    </w:r>
  </w:p>
  <w:p w14:paraId="4BE9B25B" w14:textId="77777777" w:rsidR="004E7643" w:rsidRPr="00C459FF" w:rsidRDefault="004E7643" w:rsidP="004E7643">
    <w:pPr>
      <w:tabs>
        <w:tab w:val="left" w:pos="720"/>
        <w:tab w:val="center" w:pos="5400"/>
      </w:tabs>
      <w:jc w:val="center"/>
      <w:rPr>
        <w:rFonts w:ascii="Arial" w:hAnsi="Arial" w:cs="Arial"/>
        <w:sz w:val="18"/>
        <w:szCs w:val="18"/>
      </w:rPr>
    </w:pPr>
    <w:r>
      <w:rPr>
        <w:rFonts w:ascii="Arial" w:hAnsi="Arial" w:cs="Arial"/>
        <w:sz w:val="18"/>
        <w:szCs w:val="18"/>
      </w:rPr>
      <w:t>Email address</w:t>
    </w:r>
    <w:r w:rsidRPr="00F270AB">
      <w:rPr>
        <w:rFonts w:ascii="Arial" w:hAnsi="Arial" w:cs="Arial"/>
        <w:sz w:val="18"/>
        <w:szCs w:val="18"/>
      </w:rPr>
      <w:t xml:space="preserve">: </w:t>
    </w:r>
    <w:r>
      <w:rPr>
        <w:rFonts w:ascii="Arial" w:hAnsi="Arial" w:cs="Arial"/>
        <w:sz w:val="18"/>
        <w:szCs w:val="18"/>
      </w:rPr>
      <w:t>DENA_CUA@nps.gov</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73478D6" w14:textId="4F14C3DD" w:rsidR="00A62007" w:rsidRPr="00DF1837" w:rsidRDefault="00DF1837" w:rsidP="00DF1837">
    <w:pPr>
      <w:tabs>
        <w:tab w:val="left" w:pos="720"/>
        <w:tab w:val="center" w:pos="5400"/>
      </w:tabs>
      <w:jc w:val="center"/>
      <w:rPr>
        <w:rFonts w:ascii="Arial" w:hAnsi="Arial" w:cs="Arial"/>
        <w:b/>
        <w:sz w:val="18"/>
        <w:szCs w:val="18"/>
      </w:rPr>
    </w:pPr>
    <w:r w:rsidRPr="00DF1837">
      <w:rPr>
        <w:rFonts w:ascii="Arial" w:hAnsi="Arial" w:cs="Arial"/>
        <w:b/>
        <w:sz w:val="18"/>
        <w:szCs w:val="18"/>
      </w:rPr>
      <w:t>Denali National Park and Preserve</w:t>
    </w:r>
  </w:p>
  <w:p w14:paraId="730C8441" w14:textId="1AA99555" w:rsidR="00A62007" w:rsidRPr="00C459FF" w:rsidRDefault="00DF1837" w:rsidP="006D3FBA">
    <w:pPr>
      <w:tabs>
        <w:tab w:val="left" w:pos="720"/>
        <w:tab w:val="center" w:pos="5400"/>
      </w:tabs>
      <w:jc w:val="center"/>
      <w:rPr>
        <w:rFonts w:ascii="Arial" w:hAnsi="Arial" w:cs="Arial"/>
        <w:sz w:val="18"/>
        <w:szCs w:val="18"/>
      </w:rPr>
    </w:pPr>
    <w:r>
      <w:rPr>
        <w:rFonts w:ascii="Arial" w:hAnsi="Arial" w:cs="Arial"/>
        <w:sz w:val="18"/>
        <w:szCs w:val="18"/>
      </w:rPr>
      <w:t>Email address</w:t>
    </w:r>
    <w:r w:rsidR="00A62007" w:rsidRPr="00F270AB">
      <w:rPr>
        <w:rFonts w:ascii="Arial" w:hAnsi="Arial" w:cs="Arial"/>
        <w:sz w:val="18"/>
        <w:szCs w:val="18"/>
      </w:rPr>
      <w:t xml:space="preserve">: </w:t>
    </w:r>
    <w:r>
      <w:rPr>
        <w:rFonts w:ascii="Arial" w:hAnsi="Arial" w:cs="Arial"/>
        <w:sz w:val="18"/>
        <w:szCs w:val="18"/>
      </w:rPr>
      <w:t>DENA_CUA@nps.gov</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50EF435" w14:textId="0E146FAA" w:rsidR="004E7643" w:rsidRPr="00DF1837" w:rsidRDefault="004E7643" w:rsidP="004E7643">
    <w:pPr>
      <w:tabs>
        <w:tab w:val="left" w:pos="720"/>
        <w:tab w:val="center" w:pos="5400"/>
      </w:tabs>
      <w:jc w:val="center"/>
      <w:rPr>
        <w:rFonts w:ascii="Arial" w:hAnsi="Arial" w:cs="Arial"/>
        <w:b/>
        <w:sz w:val="18"/>
        <w:szCs w:val="18"/>
      </w:rPr>
    </w:pPr>
    <w:r w:rsidRPr="00DF1837">
      <w:rPr>
        <w:rFonts w:ascii="Arial" w:hAnsi="Arial" w:cs="Arial"/>
        <w:b/>
        <w:sz w:val="18"/>
        <w:szCs w:val="18"/>
      </w:rPr>
      <w:t>Denali National Park and Preserve</w:t>
    </w:r>
  </w:p>
  <w:p w14:paraId="49BB59E3" w14:textId="77777777" w:rsidR="004E7643" w:rsidRPr="00C459FF" w:rsidRDefault="004E7643" w:rsidP="004E7643">
    <w:pPr>
      <w:tabs>
        <w:tab w:val="left" w:pos="720"/>
        <w:tab w:val="center" w:pos="5400"/>
      </w:tabs>
      <w:jc w:val="center"/>
      <w:rPr>
        <w:rFonts w:ascii="Arial" w:hAnsi="Arial" w:cs="Arial"/>
        <w:sz w:val="18"/>
        <w:szCs w:val="18"/>
      </w:rPr>
    </w:pPr>
    <w:r>
      <w:rPr>
        <w:rFonts w:ascii="Arial" w:hAnsi="Arial" w:cs="Arial"/>
        <w:sz w:val="18"/>
        <w:szCs w:val="18"/>
      </w:rPr>
      <w:t>Email address</w:t>
    </w:r>
    <w:r w:rsidRPr="00F270AB">
      <w:rPr>
        <w:rFonts w:ascii="Arial" w:hAnsi="Arial" w:cs="Arial"/>
        <w:sz w:val="18"/>
        <w:szCs w:val="18"/>
      </w:rPr>
      <w:t xml:space="preserve">: </w:t>
    </w:r>
    <w:r>
      <w:rPr>
        <w:rFonts w:ascii="Arial" w:hAnsi="Arial" w:cs="Arial"/>
        <w:sz w:val="18"/>
        <w:szCs w:val="18"/>
      </w:rPr>
      <w:t>DENA_CUA@nps.gov</w:t>
    </w:r>
  </w:p>
  <w:p w14:paraId="37703E4F" w14:textId="337441FE" w:rsidR="00150556" w:rsidRDefault="00150556" w:rsidP="004E7643">
    <w:pPr>
      <w:tabs>
        <w:tab w:val="left" w:pos="720"/>
        <w:tab w:val="center" w:pos="5400"/>
      </w:tabs>
      <w:jc w:val="center"/>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Pr="00A52356" w:rsidRDefault="00150556" w:rsidP="00A52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07C7"/>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E7643"/>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52356"/>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C79E2"/>
    <w:rsid w:val="00DD25C5"/>
    <w:rsid w:val="00DD3F19"/>
    <w:rsid w:val="00DD46AD"/>
    <w:rsid w:val="00DD5A5F"/>
    <w:rsid w:val="00DE323D"/>
    <w:rsid w:val="00DF1837"/>
    <w:rsid w:val="00DF304E"/>
    <w:rsid w:val="00DF3BB4"/>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0A9C"/>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paragraph" w:styleId="NormalWeb">
    <w:name w:val="Normal (Web)"/>
    <w:basedOn w:val="Normal"/>
    <w:uiPriority w:val="99"/>
    <w:unhideWhenUsed/>
    <w:rsid w:val="00DF3B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7578">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4361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rma.nps.gov/VUR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1484</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LeBel, Jim</cp:lastModifiedBy>
  <cp:revision>6</cp:revision>
  <cp:lastPrinted>2015-12-17T02:21:00Z</cp:lastPrinted>
  <dcterms:created xsi:type="dcterms:W3CDTF">2023-11-20T20:37:00Z</dcterms:created>
  <dcterms:modified xsi:type="dcterms:W3CDTF">2023-11-29T18:31:00Z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